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AF" w:rsidRPr="00FB655D" w:rsidRDefault="008507AF" w:rsidP="00014021">
      <w:pPr>
        <w:tabs>
          <w:tab w:val="left" w:pos="9059"/>
        </w:tabs>
        <w:spacing w:after="0" w:line="240" w:lineRule="auto"/>
        <w:jc w:val="center"/>
        <w:rPr>
          <w:rFonts w:ascii="Arial" w:hAnsi="Arial" w:cs="Arial"/>
          <w:b/>
          <w:sz w:val="28"/>
        </w:rPr>
      </w:pPr>
      <w:r w:rsidRPr="00FB655D">
        <w:rPr>
          <w:rFonts w:ascii="Arial" w:hAnsi="Arial" w:cs="Arial"/>
          <w:b/>
          <w:sz w:val="28"/>
        </w:rPr>
        <w:t>The top</w:t>
      </w:r>
      <w:r w:rsidR="00962AC5" w:rsidRPr="00FB655D">
        <w:rPr>
          <w:rFonts w:ascii="Arial" w:hAnsi="Arial" w:cs="Arial"/>
          <w:b/>
          <w:sz w:val="28"/>
        </w:rPr>
        <w:t xml:space="preserve"> 10</w:t>
      </w:r>
      <w:r w:rsidR="00014021">
        <w:rPr>
          <w:rFonts w:ascii="Arial" w:hAnsi="Arial" w:cs="Arial"/>
          <w:b/>
          <w:sz w:val="28"/>
        </w:rPr>
        <w:t xml:space="preserve"> facts you should </w:t>
      </w:r>
      <w:r w:rsidRPr="00FB655D">
        <w:rPr>
          <w:rFonts w:ascii="Arial" w:hAnsi="Arial" w:cs="Arial"/>
          <w:b/>
          <w:sz w:val="28"/>
        </w:rPr>
        <w:t>know about K-12 education in Kentucky</w:t>
      </w:r>
    </w:p>
    <w:p w:rsidR="0014242F" w:rsidRPr="002073EB" w:rsidRDefault="0014242F" w:rsidP="00B77EC2">
      <w:pPr>
        <w:tabs>
          <w:tab w:val="left" w:pos="9059"/>
        </w:tabs>
        <w:spacing w:after="0" w:line="240" w:lineRule="auto"/>
        <w:ind w:left="-540"/>
        <w:jc w:val="center"/>
        <w:rPr>
          <w:rFonts w:ascii="Arial" w:hAnsi="Arial" w:cs="Arial"/>
          <w:b/>
          <w:i/>
          <w:sz w:val="16"/>
          <w:u w:val="single"/>
        </w:rPr>
      </w:pPr>
    </w:p>
    <w:p w:rsidR="008507AF" w:rsidRPr="007548C9" w:rsidRDefault="007129FA" w:rsidP="00476F9E">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Kentucky’s </w:t>
      </w:r>
      <w:r w:rsidR="00220C76" w:rsidRPr="007548C9">
        <w:rPr>
          <w:rFonts w:ascii="Arial" w:hAnsi="Arial" w:cs="Arial"/>
        </w:rPr>
        <w:t xml:space="preserve">4-year </w:t>
      </w:r>
      <w:r w:rsidR="00B127BE">
        <w:rPr>
          <w:rFonts w:ascii="Arial" w:hAnsi="Arial" w:cs="Arial"/>
        </w:rPr>
        <w:t xml:space="preserve">cohort </w:t>
      </w:r>
      <w:r w:rsidR="00B127BE" w:rsidRPr="007548C9">
        <w:rPr>
          <w:rFonts w:ascii="Arial" w:hAnsi="Arial" w:cs="Arial"/>
        </w:rPr>
        <w:t xml:space="preserve">high school </w:t>
      </w:r>
      <w:r w:rsidRPr="007548C9">
        <w:rPr>
          <w:rFonts w:ascii="Arial" w:hAnsi="Arial" w:cs="Arial"/>
        </w:rPr>
        <w:t>graduation rate is among the top 10 in the nation;</w:t>
      </w:r>
      <w:r w:rsidR="00C50DFF" w:rsidRPr="007548C9">
        <w:rPr>
          <w:rFonts w:ascii="Arial" w:hAnsi="Arial" w:cs="Arial"/>
          <w:vertAlign w:val="superscript"/>
        </w:rPr>
        <w:t>1</w:t>
      </w:r>
      <w:r w:rsidRPr="007548C9">
        <w:rPr>
          <w:rFonts w:ascii="Arial" w:hAnsi="Arial" w:cs="Arial"/>
        </w:rPr>
        <w:t xml:space="preserve"> </w:t>
      </w:r>
      <w:r w:rsidR="00737D86" w:rsidRPr="007548C9">
        <w:rPr>
          <w:rFonts w:ascii="Arial" w:hAnsi="Arial" w:cs="Arial"/>
        </w:rPr>
        <w:t>Kentucky graduates more of its low income students than any state in the nation</w:t>
      </w:r>
      <w:r w:rsidR="006B307F" w:rsidRPr="007548C9">
        <w:rPr>
          <w:rFonts w:ascii="Arial" w:hAnsi="Arial" w:cs="Arial"/>
        </w:rPr>
        <w:t>,</w:t>
      </w:r>
      <w:r w:rsidR="00626629" w:rsidRPr="007548C9">
        <w:rPr>
          <w:rFonts w:ascii="Arial" w:hAnsi="Arial" w:cs="Arial"/>
        </w:rPr>
        <w:t xml:space="preserve"> </w:t>
      </w:r>
      <w:r w:rsidR="0066178D" w:rsidRPr="007548C9">
        <w:rPr>
          <w:rFonts w:ascii="Arial" w:hAnsi="Arial" w:cs="Arial"/>
        </w:rPr>
        <w:t xml:space="preserve">and has </w:t>
      </w:r>
      <w:r w:rsidR="00255A98" w:rsidRPr="007548C9">
        <w:rPr>
          <w:rFonts w:ascii="Arial" w:hAnsi="Arial" w:cs="Arial"/>
        </w:rPr>
        <w:t xml:space="preserve">the smallest </w:t>
      </w:r>
      <w:r w:rsidR="00626629" w:rsidRPr="007548C9">
        <w:rPr>
          <w:rFonts w:ascii="Arial" w:hAnsi="Arial" w:cs="Arial"/>
        </w:rPr>
        <w:t xml:space="preserve">gap between </w:t>
      </w:r>
      <w:r w:rsidR="0066178D" w:rsidRPr="007548C9">
        <w:rPr>
          <w:rFonts w:ascii="Arial" w:hAnsi="Arial" w:cs="Arial"/>
        </w:rPr>
        <w:t xml:space="preserve">the percentage of </w:t>
      </w:r>
      <w:r w:rsidRPr="007548C9">
        <w:rPr>
          <w:rFonts w:ascii="Arial" w:hAnsi="Arial" w:cs="Arial"/>
        </w:rPr>
        <w:t>low income student</w:t>
      </w:r>
      <w:r w:rsidR="0014242F" w:rsidRPr="007548C9">
        <w:rPr>
          <w:rFonts w:ascii="Arial" w:hAnsi="Arial" w:cs="Arial"/>
        </w:rPr>
        <w:t>s</w:t>
      </w:r>
      <w:r w:rsidR="004A589E" w:rsidRPr="007548C9">
        <w:rPr>
          <w:rFonts w:ascii="Arial" w:hAnsi="Arial" w:cs="Arial"/>
        </w:rPr>
        <w:t xml:space="preserve"> and more affluent </w:t>
      </w:r>
      <w:r w:rsidR="000A2985" w:rsidRPr="007548C9">
        <w:rPr>
          <w:rFonts w:ascii="Arial" w:hAnsi="Arial" w:cs="Arial"/>
        </w:rPr>
        <w:t xml:space="preserve">students </w:t>
      </w:r>
      <w:r w:rsidR="00255A98" w:rsidRPr="007548C9">
        <w:rPr>
          <w:rFonts w:ascii="Arial" w:hAnsi="Arial" w:cs="Arial"/>
        </w:rPr>
        <w:t>who graduate</w:t>
      </w:r>
      <w:r w:rsidR="00220C76" w:rsidRPr="007548C9">
        <w:rPr>
          <w:rFonts w:ascii="Arial" w:hAnsi="Arial" w:cs="Arial"/>
        </w:rPr>
        <w:t xml:space="preserve"> on time</w:t>
      </w:r>
      <w:r w:rsidR="00677FEF" w:rsidRPr="007548C9">
        <w:rPr>
          <w:rFonts w:ascii="Arial" w:hAnsi="Arial" w:cs="Arial"/>
        </w:rPr>
        <w:t>.</w:t>
      </w:r>
      <w:r w:rsidR="00C50DFF" w:rsidRPr="007548C9">
        <w:rPr>
          <w:rFonts w:ascii="Arial" w:hAnsi="Arial" w:cs="Arial"/>
          <w:vertAlign w:val="superscript"/>
        </w:rPr>
        <w:t>2</w:t>
      </w:r>
    </w:p>
    <w:p w:rsidR="008F06B6" w:rsidRPr="007548C9" w:rsidRDefault="008F06B6" w:rsidP="008F06B6">
      <w:pPr>
        <w:tabs>
          <w:tab w:val="left" w:pos="9059"/>
        </w:tabs>
        <w:spacing w:after="0" w:line="240" w:lineRule="auto"/>
        <w:rPr>
          <w:rFonts w:ascii="Arial" w:hAnsi="Arial" w:cs="Arial"/>
        </w:rPr>
      </w:pPr>
    </w:p>
    <w:p w:rsidR="0001002D" w:rsidRPr="007548C9" w:rsidRDefault="002B5DEC" w:rsidP="00476F9E">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Kentucky </w:t>
      </w:r>
      <w:r w:rsidR="00050A94" w:rsidRPr="007548C9">
        <w:rPr>
          <w:rFonts w:ascii="Arial" w:hAnsi="Arial" w:cs="Arial"/>
        </w:rPr>
        <w:t xml:space="preserve">elementary and middle school </w:t>
      </w:r>
      <w:r w:rsidRPr="007548C9">
        <w:rPr>
          <w:rFonts w:ascii="Arial" w:hAnsi="Arial" w:cs="Arial"/>
        </w:rPr>
        <w:t xml:space="preserve">students </w:t>
      </w:r>
      <w:r w:rsidR="006D244A" w:rsidRPr="007548C9">
        <w:rPr>
          <w:rFonts w:ascii="Arial" w:hAnsi="Arial" w:cs="Arial"/>
        </w:rPr>
        <w:t>have registered greater gains in reading</w:t>
      </w:r>
      <w:r w:rsidR="002E3243" w:rsidRPr="007548C9">
        <w:rPr>
          <w:rFonts w:ascii="Arial" w:hAnsi="Arial" w:cs="Arial"/>
        </w:rPr>
        <w:t xml:space="preserve"> and </w:t>
      </w:r>
      <w:r w:rsidR="006D244A" w:rsidRPr="007548C9">
        <w:rPr>
          <w:rFonts w:ascii="Arial" w:hAnsi="Arial" w:cs="Arial"/>
        </w:rPr>
        <w:t>math on the National Assessment of Educational Progress</w:t>
      </w:r>
      <w:r w:rsidR="007B627D" w:rsidRPr="007548C9">
        <w:rPr>
          <w:rFonts w:ascii="Arial" w:hAnsi="Arial" w:cs="Arial"/>
        </w:rPr>
        <w:t xml:space="preserve"> (NAEP)</w:t>
      </w:r>
      <w:r w:rsidR="00DF5AFF" w:rsidRPr="007548C9">
        <w:rPr>
          <w:rFonts w:ascii="Arial" w:hAnsi="Arial" w:cs="Arial"/>
        </w:rPr>
        <w:t xml:space="preserve"> in the past decade </w:t>
      </w:r>
      <w:r w:rsidR="006D244A" w:rsidRPr="007548C9">
        <w:rPr>
          <w:rFonts w:ascii="Arial" w:hAnsi="Arial" w:cs="Arial"/>
        </w:rPr>
        <w:t xml:space="preserve">than </w:t>
      </w:r>
      <w:r w:rsidR="00DF5AFF" w:rsidRPr="007548C9">
        <w:rPr>
          <w:rFonts w:ascii="Arial" w:hAnsi="Arial" w:cs="Arial"/>
        </w:rPr>
        <w:t>student</w:t>
      </w:r>
      <w:r w:rsidR="008056D3" w:rsidRPr="007548C9">
        <w:rPr>
          <w:rFonts w:ascii="Arial" w:hAnsi="Arial" w:cs="Arial"/>
        </w:rPr>
        <w:t>s in almost all other states;</w:t>
      </w:r>
      <w:r w:rsidR="00C50DFF" w:rsidRPr="007548C9">
        <w:rPr>
          <w:rFonts w:ascii="Arial" w:hAnsi="Arial" w:cs="Arial"/>
          <w:vertAlign w:val="superscript"/>
        </w:rPr>
        <w:t>3</w:t>
      </w:r>
      <w:r w:rsidR="008056D3" w:rsidRPr="007548C9">
        <w:rPr>
          <w:rFonts w:ascii="Arial" w:hAnsi="Arial" w:cs="Arial"/>
        </w:rPr>
        <w:t xml:space="preserve"> Kentucky </w:t>
      </w:r>
      <w:r w:rsidR="00CB2808" w:rsidRPr="007548C9">
        <w:rPr>
          <w:rFonts w:ascii="Arial" w:hAnsi="Arial" w:cs="Arial"/>
        </w:rPr>
        <w:t xml:space="preserve">elementary and middle school </w:t>
      </w:r>
      <w:r w:rsidR="008056D3" w:rsidRPr="007548C9">
        <w:rPr>
          <w:rFonts w:ascii="Arial" w:hAnsi="Arial" w:cs="Arial"/>
        </w:rPr>
        <w:t>students now</w:t>
      </w:r>
      <w:r w:rsidR="006D244A" w:rsidRPr="007548C9">
        <w:rPr>
          <w:rFonts w:ascii="Arial" w:hAnsi="Arial" w:cs="Arial"/>
        </w:rPr>
        <w:t xml:space="preserve"> </w:t>
      </w:r>
      <w:r w:rsidRPr="007548C9">
        <w:rPr>
          <w:rFonts w:ascii="Arial" w:hAnsi="Arial" w:cs="Arial"/>
        </w:rPr>
        <w:t>outperform the</w:t>
      </w:r>
      <w:r w:rsidR="00F45586" w:rsidRPr="007548C9">
        <w:rPr>
          <w:rFonts w:ascii="Arial" w:hAnsi="Arial" w:cs="Arial"/>
        </w:rPr>
        <w:t xml:space="preserve"> nation as a whole </w:t>
      </w:r>
      <w:r w:rsidRPr="007548C9">
        <w:rPr>
          <w:rFonts w:ascii="Arial" w:hAnsi="Arial" w:cs="Arial"/>
        </w:rPr>
        <w:t>at most levels in reading</w:t>
      </w:r>
      <w:r w:rsidR="004B6E24" w:rsidRPr="007548C9">
        <w:rPr>
          <w:rFonts w:ascii="Arial" w:hAnsi="Arial" w:cs="Arial"/>
        </w:rPr>
        <w:t>,</w:t>
      </w:r>
      <w:r w:rsidRPr="007548C9">
        <w:rPr>
          <w:rFonts w:ascii="Arial" w:hAnsi="Arial" w:cs="Arial"/>
        </w:rPr>
        <w:t xml:space="preserve"> mathematics</w:t>
      </w:r>
      <w:r w:rsidR="004B6E24" w:rsidRPr="007548C9">
        <w:rPr>
          <w:rFonts w:ascii="Arial" w:hAnsi="Arial" w:cs="Arial"/>
        </w:rPr>
        <w:t xml:space="preserve"> and science</w:t>
      </w:r>
      <w:r w:rsidR="007B627D" w:rsidRPr="007548C9">
        <w:rPr>
          <w:rFonts w:ascii="Arial" w:hAnsi="Arial" w:cs="Arial"/>
        </w:rPr>
        <w:t xml:space="preserve"> on NAEP</w:t>
      </w:r>
      <w:r w:rsidR="00050A94" w:rsidRPr="007548C9">
        <w:rPr>
          <w:rFonts w:ascii="Arial" w:hAnsi="Arial" w:cs="Arial"/>
        </w:rPr>
        <w:t>.</w:t>
      </w:r>
      <w:r w:rsidR="00C50DFF" w:rsidRPr="007548C9">
        <w:rPr>
          <w:rFonts w:ascii="Arial" w:hAnsi="Arial" w:cs="Arial"/>
          <w:vertAlign w:val="superscript"/>
        </w:rPr>
        <w:t>4</w:t>
      </w:r>
    </w:p>
    <w:p w:rsidR="008F06B6" w:rsidRPr="007548C9" w:rsidRDefault="008F06B6" w:rsidP="008F06B6">
      <w:pPr>
        <w:pStyle w:val="ListParagraph"/>
        <w:tabs>
          <w:tab w:val="left" w:pos="9059"/>
        </w:tabs>
        <w:spacing w:after="0" w:line="240" w:lineRule="auto"/>
        <w:ind w:left="180"/>
        <w:rPr>
          <w:rFonts w:ascii="Arial" w:hAnsi="Arial" w:cs="Arial"/>
        </w:rPr>
      </w:pPr>
    </w:p>
    <w:p w:rsidR="008E00CD" w:rsidRPr="007548C9" w:rsidRDefault="008E00CD" w:rsidP="0014242F">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In the last five years, Kentucky students have made </w:t>
      </w:r>
      <w:r w:rsidR="009D3DB7" w:rsidRPr="007548C9">
        <w:rPr>
          <w:rFonts w:ascii="Arial" w:hAnsi="Arial" w:cs="Arial"/>
        </w:rPr>
        <w:t xml:space="preserve">significantly </w:t>
      </w:r>
      <w:r w:rsidRPr="007548C9">
        <w:rPr>
          <w:rFonts w:ascii="Arial" w:hAnsi="Arial" w:cs="Arial"/>
        </w:rPr>
        <w:t>greater gains on the ACT than the rest of</w:t>
      </w:r>
      <w:r w:rsidR="00B127BE">
        <w:rPr>
          <w:rFonts w:ascii="Arial" w:hAnsi="Arial" w:cs="Arial"/>
        </w:rPr>
        <w:t xml:space="preserve"> United States</w:t>
      </w:r>
      <w:r w:rsidRPr="007548C9">
        <w:rPr>
          <w:rFonts w:ascii="Arial" w:hAnsi="Arial" w:cs="Arial"/>
        </w:rPr>
        <w:t>.</w:t>
      </w:r>
      <w:r w:rsidR="00C50DFF" w:rsidRPr="007548C9">
        <w:rPr>
          <w:rFonts w:ascii="Arial" w:hAnsi="Arial" w:cs="Arial"/>
          <w:vertAlign w:val="superscript"/>
        </w:rPr>
        <w:t>5</w:t>
      </w:r>
    </w:p>
    <w:p w:rsidR="008F06B6" w:rsidRPr="007548C9" w:rsidRDefault="008F06B6" w:rsidP="008F06B6">
      <w:pPr>
        <w:pStyle w:val="ListParagraph"/>
        <w:tabs>
          <w:tab w:val="left" w:pos="9059"/>
        </w:tabs>
        <w:spacing w:after="0" w:line="240" w:lineRule="auto"/>
        <w:ind w:left="180"/>
        <w:rPr>
          <w:rFonts w:ascii="Arial" w:hAnsi="Arial" w:cs="Arial"/>
        </w:rPr>
      </w:pPr>
    </w:p>
    <w:p w:rsidR="00AC3373" w:rsidRPr="007548C9" w:rsidRDefault="00AC3373" w:rsidP="0014242F">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More Kentucky students are taking Advanced Placement tests </w:t>
      </w:r>
      <w:r w:rsidR="005B1B73" w:rsidRPr="007548C9">
        <w:rPr>
          <w:rFonts w:ascii="Arial" w:hAnsi="Arial" w:cs="Arial"/>
        </w:rPr>
        <w:t>and are scoring higher</w:t>
      </w:r>
      <w:r w:rsidR="00505BE6">
        <w:rPr>
          <w:rFonts w:ascii="Arial" w:hAnsi="Arial" w:cs="Arial"/>
        </w:rPr>
        <w:t xml:space="preserve"> than ever before</w:t>
      </w:r>
      <w:r w:rsidR="005B1B73" w:rsidRPr="007548C9">
        <w:rPr>
          <w:rFonts w:ascii="Arial" w:hAnsi="Arial" w:cs="Arial"/>
        </w:rPr>
        <w:t>.</w:t>
      </w:r>
      <w:r w:rsidR="009A7399" w:rsidRPr="007548C9">
        <w:rPr>
          <w:rFonts w:ascii="Arial" w:hAnsi="Arial" w:cs="Arial"/>
          <w:vertAlign w:val="superscript"/>
        </w:rPr>
        <w:t>6</w:t>
      </w:r>
    </w:p>
    <w:p w:rsidR="008F06B6" w:rsidRPr="007548C9" w:rsidRDefault="008F06B6" w:rsidP="008F06B6">
      <w:pPr>
        <w:pStyle w:val="ListParagraph"/>
        <w:tabs>
          <w:tab w:val="left" w:pos="9059"/>
        </w:tabs>
        <w:spacing w:after="0" w:line="240" w:lineRule="auto"/>
        <w:ind w:left="180"/>
        <w:rPr>
          <w:rFonts w:ascii="Arial" w:hAnsi="Arial" w:cs="Arial"/>
        </w:rPr>
      </w:pPr>
    </w:p>
    <w:p w:rsidR="005254A5" w:rsidRPr="007548C9" w:rsidRDefault="00FC2116" w:rsidP="005254A5">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Kentucky has essentially the same academic standards in English/language arts and mathematics </w:t>
      </w:r>
      <w:r w:rsidR="003C711E" w:rsidRPr="007548C9">
        <w:rPr>
          <w:rFonts w:ascii="Arial" w:hAnsi="Arial" w:cs="Arial"/>
        </w:rPr>
        <w:t>as t</w:t>
      </w:r>
      <w:r w:rsidRPr="007548C9">
        <w:rPr>
          <w:rFonts w:ascii="Arial" w:hAnsi="Arial" w:cs="Arial"/>
        </w:rPr>
        <w:t>he majority of the top 10 perfor</w:t>
      </w:r>
      <w:r w:rsidR="003C711E" w:rsidRPr="007548C9">
        <w:rPr>
          <w:rFonts w:ascii="Arial" w:hAnsi="Arial" w:cs="Arial"/>
        </w:rPr>
        <w:t>ming states in the country</w:t>
      </w:r>
      <w:r w:rsidRPr="007548C9">
        <w:rPr>
          <w:rFonts w:ascii="Arial" w:hAnsi="Arial" w:cs="Arial"/>
        </w:rPr>
        <w:t>.</w:t>
      </w:r>
      <w:r w:rsidR="00CB2808" w:rsidRPr="007548C9">
        <w:rPr>
          <w:rFonts w:ascii="Arial" w:hAnsi="Arial" w:cs="Arial"/>
          <w:shd w:val="clear" w:color="auto" w:fill="FFFFFF"/>
          <w:vertAlign w:val="superscript"/>
        </w:rPr>
        <w:t xml:space="preserve"> 7</w:t>
      </w:r>
      <w:r w:rsidR="00D94902">
        <w:rPr>
          <w:rFonts w:ascii="Arial" w:hAnsi="Arial" w:cs="Arial"/>
          <w:shd w:val="clear" w:color="auto" w:fill="FFFFFF"/>
          <w:vertAlign w:val="superscript"/>
        </w:rPr>
        <w:t xml:space="preserve"> </w:t>
      </w:r>
      <w:r w:rsidR="001C3578" w:rsidRPr="001C3578">
        <w:rPr>
          <w:rFonts w:ascii="Arial" w:hAnsi="Arial" w:cs="Arial"/>
          <w:shd w:val="clear" w:color="auto" w:fill="FFFFFF"/>
        </w:rPr>
        <w:t xml:space="preserve">In </w:t>
      </w:r>
      <w:r w:rsidR="005F5311">
        <w:rPr>
          <w:rFonts w:ascii="Arial" w:hAnsi="Arial" w:cs="Arial"/>
        </w:rPr>
        <w:t>a</w:t>
      </w:r>
      <w:r w:rsidR="00D34DB2">
        <w:rPr>
          <w:rFonts w:ascii="Arial" w:hAnsi="Arial" w:cs="Arial"/>
        </w:rPr>
        <w:t xml:space="preserve">n open </w:t>
      </w:r>
      <w:r w:rsidR="001C3578">
        <w:rPr>
          <w:rFonts w:ascii="Arial" w:hAnsi="Arial" w:cs="Arial"/>
        </w:rPr>
        <w:t xml:space="preserve">survey, 88 percent of Kentuckians support the </w:t>
      </w:r>
      <w:r w:rsidR="00EC6D87">
        <w:rPr>
          <w:rFonts w:ascii="Arial" w:hAnsi="Arial" w:cs="Arial"/>
        </w:rPr>
        <w:t xml:space="preserve">English/language arts and mathematics </w:t>
      </w:r>
      <w:r w:rsidR="001C3578">
        <w:rPr>
          <w:rFonts w:ascii="Arial" w:hAnsi="Arial" w:cs="Arial"/>
        </w:rPr>
        <w:t>standards as written.</w:t>
      </w:r>
      <w:r w:rsidR="00DE5B20">
        <w:rPr>
          <w:rFonts w:ascii="Arial" w:hAnsi="Arial" w:cs="Arial"/>
        </w:rPr>
        <w:t xml:space="preserve"> </w:t>
      </w:r>
      <w:r w:rsidR="00DE5B20" w:rsidRPr="007548C9">
        <w:rPr>
          <w:rFonts w:ascii="Arial" w:hAnsi="Arial" w:cs="Arial"/>
          <w:vertAlign w:val="superscript"/>
        </w:rPr>
        <w:t>8</w:t>
      </w:r>
    </w:p>
    <w:p w:rsidR="008F06B6" w:rsidRPr="007548C9" w:rsidRDefault="008F06B6" w:rsidP="008F06B6">
      <w:pPr>
        <w:pStyle w:val="ListParagraph"/>
        <w:tabs>
          <w:tab w:val="left" w:pos="9059"/>
        </w:tabs>
        <w:spacing w:after="0" w:line="240" w:lineRule="auto"/>
        <w:ind w:left="180"/>
        <w:rPr>
          <w:rFonts w:ascii="Arial" w:hAnsi="Arial" w:cs="Arial"/>
        </w:rPr>
      </w:pPr>
    </w:p>
    <w:p w:rsidR="00A30D5B" w:rsidRPr="007548C9" w:rsidRDefault="00C86E9F" w:rsidP="005254A5">
      <w:pPr>
        <w:pStyle w:val="ListParagraph"/>
        <w:numPr>
          <w:ilvl w:val="0"/>
          <w:numId w:val="3"/>
        </w:numPr>
        <w:tabs>
          <w:tab w:val="left" w:pos="9059"/>
        </w:tabs>
        <w:spacing w:after="0" w:line="240" w:lineRule="auto"/>
        <w:rPr>
          <w:rFonts w:ascii="Arial" w:hAnsi="Arial" w:cs="Arial"/>
        </w:rPr>
      </w:pPr>
      <w:r w:rsidRPr="007548C9">
        <w:rPr>
          <w:rFonts w:ascii="Arial" w:hAnsi="Arial" w:cs="Arial"/>
        </w:rPr>
        <w:t>Significantly m</w:t>
      </w:r>
      <w:r w:rsidR="00AF3406" w:rsidRPr="007548C9">
        <w:rPr>
          <w:rFonts w:ascii="Arial" w:hAnsi="Arial" w:cs="Arial"/>
        </w:rPr>
        <w:t xml:space="preserve">ore </w:t>
      </w:r>
      <w:r w:rsidR="00A30D5B" w:rsidRPr="007548C9">
        <w:rPr>
          <w:rFonts w:ascii="Arial" w:hAnsi="Arial" w:cs="Arial"/>
        </w:rPr>
        <w:t xml:space="preserve">Kentucky public high school </w:t>
      </w:r>
      <w:r w:rsidR="00AF3406" w:rsidRPr="007548C9">
        <w:rPr>
          <w:rFonts w:ascii="Arial" w:hAnsi="Arial" w:cs="Arial"/>
        </w:rPr>
        <w:t xml:space="preserve">students </w:t>
      </w:r>
      <w:r w:rsidR="00A30D5B" w:rsidRPr="007548C9">
        <w:rPr>
          <w:rFonts w:ascii="Arial" w:hAnsi="Arial" w:cs="Arial"/>
        </w:rPr>
        <w:t>are graduating from hig</w:t>
      </w:r>
      <w:r w:rsidR="005254A5" w:rsidRPr="007548C9">
        <w:rPr>
          <w:rFonts w:ascii="Arial" w:hAnsi="Arial" w:cs="Arial"/>
        </w:rPr>
        <w:t xml:space="preserve">h school college/career-ready. </w:t>
      </w:r>
      <w:r w:rsidR="00A30D5B" w:rsidRPr="007548C9">
        <w:rPr>
          <w:rFonts w:ascii="Arial" w:hAnsi="Arial" w:cs="Arial"/>
        </w:rPr>
        <w:t xml:space="preserve">College-ready means students </w:t>
      </w:r>
      <w:r w:rsidR="00D45939" w:rsidRPr="007548C9">
        <w:rPr>
          <w:rFonts w:ascii="Arial" w:hAnsi="Arial" w:cs="Arial"/>
        </w:rPr>
        <w:t>are</w:t>
      </w:r>
      <w:r w:rsidR="00A30D5B" w:rsidRPr="007548C9">
        <w:rPr>
          <w:rFonts w:ascii="Arial" w:hAnsi="Arial" w:cs="Arial"/>
        </w:rPr>
        <w:t xml:space="preserve"> prepared to take entry-level, credit-bearing, college classes without remediation or additional coursework. Career-ready students earned </w:t>
      </w:r>
      <w:r w:rsidR="00A30D5B" w:rsidRPr="007548C9">
        <w:rPr>
          <w:rFonts w:ascii="Arial" w:hAnsi="Arial" w:cs="Arial"/>
          <w:shd w:val="clear" w:color="auto" w:fill="FFFFFF"/>
        </w:rPr>
        <w:t>an Industry-Recognized Career Certificate or a passing score on a Kentucky Occupational Skills Standards Assessment</w:t>
      </w:r>
      <w:r w:rsidR="005254A5" w:rsidRPr="007548C9">
        <w:rPr>
          <w:rFonts w:ascii="Arial" w:hAnsi="Arial" w:cs="Arial"/>
          <w:shd w:val="clear" w:color="auto" w:fill="FFFFFF"/>
        </w:rPr>
        <w:t>.</w:t>
      </w:r>
      <w:r w:rsidR="002E7F51" w:rsidRPr="007548C9">
        <w:rPr>
          <w:rFonts w:ascii="Arial" w:hAnsi="Arial" w:cs="Arial"/>
          <w:vertAlign w:val="superscript"/>
        </w:rPr>
        <w:t xml:space="preserve"> </w:t>
      </w:r>
      <w:r w:rsidR="00DE5B20" w:rsidRPr="007548C9">
        <w:rPr>
          <w:rFonts w:ascii="Arial" w:hAnsi="Arial" w:cs="Arial"/>
          <w:vertAlign w:val="superscript"/>
        </w:rPr>
        <w:t>9</w:t>
      </w:r>
    </w:p>
    <w:p w:rsidR="000B36A7" w:rsidRPr="007548C9" w:rsidRDefault="000B36A7" w:rsidP="000B36A7">
      <w:pPr>
        <w:pStyle w:val="ListParagraph"/>
        <w:rPr>
          <w:rFonts w:ascii="Arial" w:hAnsi="Arial" w:cs="Arial"/>
        </w:rPr>
      </w:pPr>
    </w:p>
    <w:p w:rsidR="000B36A7" w:rsidRPr="007548C9" w:rsidRDefault="00097D45" w:rsidP="005254A5">
      <w:pPr>
        <w:pStyle w:val="ListParagraph"/>
        <w:numPr>
          <w:ilvl w:val="0"/>
          <w:numId w:val="3"/>
        </w:numPr>
        <w:tabs>
          <w:tab w:val="left" w:pos="9059"/>
        </w:tabs>
        <w:spacing w:after="0" w:line="240" w:lineRule="auto"/>
        <w:rPr>
          <w:rFonts w:ascii="Arial" w:hAnsi="Arial" w:cs="Arial"/>
          <w:sz w:val="24"/>
        </w:rPr>
      </w:pPr>
      <w:r w:rsidRPr="007548C9">
        <w:rPr>
          <w:rFonts w:ascii="Arial" w:hAnsi="Arial" w:cs="Arial"/>
          <w:szCs w:val="20"/>
          <w:shd w:val="clear" w:color="auto" w:fill="FFFFFF"/>
        </w:rPr>
        <w:t xml:space="preserve">On average, administering Kentucky’s state-level assessments take less than 1 percent of the total instructional time in a given school year. </w:t>
      </w:r>
      <w:r w:rsidR="00DE5B20" w:rsidRPr="007548C9">
        <w:rPr>
          <w:rFonts w:ascii="Arial" w:hAnsi="Arial" w:cs="Arial"/>
          <w:vertAlign w:val="superscript"/>
        </w:rPr>
        <w:t>10</w:t>
      </w:r>
    </w:p>
    <w:p w:rsidR="00404706" w:rsidRPr="007548C9" w:rsidRDefault="00404706" w:rsidP="00404706">
      <w:pPr>
        <w:pStyle w:val="ListParagraph"/>
        <w:tabs>
          <w:tab w:val="left" w:pos="9059"/>
        </w:tabs>
        <w:spacing w:after="0" w:line="240" w:lineRule="auto"/>
        <w:ind w:left="180"/>
        <w:rPr>
          <w:rFonts w:ascii="Arial" w:hAnsi="Arial" w:cs="Arial"/>
        </w:rPr>
      </w:pPr>
    </w:p>
    <w:p w:rsidR="005B1B73" w:rsidRPr="007548C9" w:rsidRDefault="005A4775" w:rsidP="0014242F">
      <w:pPr>
        <w:pStyle w:val="ListParagraph"/>
        <w:numPr>
          <w:ilvl w:val="0"/>
          <w:numId w:val="3"/>
        </w:numPr>
        <w:tabs>
          <w:tab w:val="left" w:pos="9059"/>
        </w:tabs>
        <w:spacing w:after="0" w:line="240" w:lineRule="auto"/>
        <w:rPr>
          <w:rFonts w:ascii="Arial" w:hAnsi="Arial" w:cs="Arial"/>
        </w:rPr>
      </w:pPr>
      <w:r w:rsidRPr="007548C9">
        <w:rPr>
          <w:rFonts w:ascii="Arial" w:hAnsi="Arial" w:cs="Arial"/>
        </w:rPr>
        <w:t>Nearly 90 percent of</w:t>
      </w:r>
      <w:r w:rsidR="005B1B73" w:rsidRPr="007548C9">
        <w:rPr>
          <w:rFonts w:ascii="Arial" w:hAnsi="Arial" w:cs="Arial"/>
        </w:rPr>
        <w:t xml:space="preserve"> Kentucky teachers are engaged in the school improvement process</w:t>
      </w:r>
      <w:r w:rsidRPr="007548C9">
        <w:rPr>
          <w:rFonts w:ascii="Arial" w:hAnsi="Arial" w:cs="Arial"/>
        </w:rPr>
        <w:t>.</w:t>
      </w:r>
      <w:r w:rsidR="00EB2A98" w:rsidRPr="007548C9">
        <w:rPr>
          <w:rFonts w:ascii="Arial" w:hAnsi="Arial" w:cs="Arial"/>
          <w:vertAlign w:val="superscript"/>
        </w:rPr>
        <w:t xml:space="preserve"> </w:t>
      </w:r>
      <w:r w:rsidR="00DE5B20" w:rsidRPr="007548C9">
        <w:rPr>
          <w:rFonts w:ascii="Arial" w:hAnsi="Arial" w:cs="Arial"/>
          <w:vertAlign w:val="superscript"/>
        </w:rPr>
        <w:t>11</w:t>
      </w:r>
    </w:p>
    <w:p w:rsidR="008F06B6" w:rsidRPr="007548C9" w:rsidRDefault="008F06B6" w:rsidP="008F06B6">
      <w:pPr>
        <w:tabs>
          <w:tab w:val="left" w:pos="9059"/>
        </w:tabs>
        <w:spacing w:after="0" w:line="240" w:lineRule="auto"/>
        <w:rPr>
          <w:rFonts w:ascii="Arial" w:hAnsi="Arial" w:cs="Arial"/>
        </w:rPr>
      </w:pPr>
    </w:p>
    <w:p w:rsidR="00D45939" w:rsidRPr="007548C9" w:rsidRDefault="00EB2A98" w:rsidP="00E8246A">
      <w:pPr>
        <w:pStyle w:val="ListParagraph"/>
        <w:numPr>
          <w:ilvl w:val="0"/>
          <w:numId w:val="3"/>
        </w:numPr>
        <w:tabs>
          <w:tab w:val="left" w:pos="9059"/>
        </w:tabs>
        <w:spacing w:after="0" w:line="240" w:lineRule="auto"/>
        <w:rPr>
          <w:rFonts w:ascii="Arial" w:hAnsi="Arial" w:cs="Arial"/>
        </w:rPr>
      </w:pPr>
      <w:r w:rsidRPr="007548C9">
        <w:rPr>
          <w:rFonts w:ascii="Arial" w:hAnsi="Arial" w:cs="Arial"/>
        </w:rPr>
        <w:t>Kentucky ranks 7th in the nation in the percentage of its teachers who hold National Board for Professional Teaching Standards certification.</w:t>
      </w:r>
      <w:r w:rsidR="00944DAD" w:rsidRPr="007548C9">
        <w:rPr>
          <w:rFonts w:ascii="Arial" w:hAnsi="Arial" w:cs="Arial"/>
        </w:rPr>
        <w:t xml:space="preserve"> </w:t>
      </w:r>
      <w:r w:rsidR="00DE5B20" w:rsidRPr="007548C9">
        <w:rPr>
          <w:rFonts w:ascii="Arial" w:hAnsi="Arial" w:cs="Arial"/>
          <w:vertAlign w:val="superscript"/>
        </w:rPr>
        <w:t>12</w:t>
      </w:r>
    </w:p>
    <w:p w:rsidR="00E8246A" w:rsidRPr="007548C9" w:rsidRDefault="00E8246A" w:rsidP="00E8246A">
      <w:pPr>
        <w:tabs>
          <w:tab w:val="left" w:pos="9059"/>
        </w:tabs>
        <w:spacing w:after="0" w:line="240" w:lineRule="auto"/>
        <w:rPr>
          <w:rFonts w:ascii="Arial" w:hAnsi="Arial" w:cs="Arial"/>
        </w:rPr>
      </w:pPr>
    </w:p>
    <w:p w:rsidR="00DD0250" w:rsidRPr="007548C9" w:rsidRDefault="00007C85" w:rsidP="00944DAD">
      <w:pPr>
        <w:pStyle w:val="Default"/>
        <w:numPr>
          <w:ilvl w:val="0"/>
          <w:numId w:val="3"/>
        </w:numPr>
        <w:rPr>
          <w:rFonts w:ascii="Arial" w:hAnsi="Arial" w:cs="Arial"/>
          <w:sz w:val="22"/>
        </w:rPr>
      </w:pPr>
      <w:r w:rsidRPr="007548C9">
        <w:rPr>
          <w:rFonts w:ascii="Arial" w:hAnsi="Arial" w:cs="Arial"/>
          <w:sz w:val="22"/>
        </w:rPr>
        <w:t xml:space="preserve">Kentucky’s adjusted per-pupil expenditure (PPE) is $1,260 less than the national average. </w:t>
      </w:r>
      <w:r w:rsidR="00FB655D" w:rsidRPr="007548C9">
        <w:rPr>
          <w:rFonts w:ascii="Arial" w:hAnsi="Arial" w:cs="Arial"/>
          <w:sz w:val="22"/>
        </w:rPr>
        <w:t>O</w:t>
      </w:r>
      <w:r w:rsidRPr="007548C9">
        <w:rPr>
          <w:rFonts w:ascii="Arial" w:hAnsi="Arial" w:cs="Arial"/>
          <w:sz w:val="22"/>
        </w:rPr>
        <w:t>nly 15.8 percent of students go to school in a district with the PPE at or above the national average. Nationally, the number is 41.5 percent.</w:t>
      </w:r>
      <w:r w:rsidR="00944DAD" w:rsidRPr="007548C9">
        <w:rPr>
          <w:rFonts w:ascii="Arial" w:hAnsi="Arial" w:cs="Arial"/>
          <w:sz w:val="22"/>
        </w:rPr>
        <w:t xml:space="preserve"> </w:t>
      </w:r>
      <w:r w:rsidR="00DE5B20">
        <w:rPr>
          <w:rFonts w:ascii="Arial" w:hAnsi="Arial" w:cs="Arial"/>
          <w:sz w:val="22"/>
          <w:vertAlign w:val="superscript"/>
        </w:rPr>
        <w:t>13</w:t>
      </w:r>
    </w:p>
    <w:p w:rsidR="00EB2A98" w:rsidRDefault="00EB2A98" w:rsidP="00E11B87">
      <w:pPr>
        <w:pStyle w:val="ListParagraph"/>
        <w:tabs>
          <w:tab w:val="left" w:pos="9059"/>
        </w:tabs>
        <w:spacing w:after="0" w:line="240" w:lineRule="auto"/>
        <w:ind w:left="-180"/>
        <w:rPr>
          <w:rFonts w:ascii="Arial" w:hAnsi="Arial" w:cs="Arial"/>
        </w:rPr>
      </w:pPr>
    </w:p>
    <w:p w:rsidR="00DB482D" w:rsidRPr="00DB482D" w:rsidRDefault="00DD0250" w:rsidP="00DB482D">
      <w:pPr>
        <w:pStyle w:val="ListParagraph"/>
        <w:tabs>
          <w:tab w:val="left" w:pos="9059"/>
        </w:tabs>
        <w:spacing w:after="0" w:line="240" w:lineRule="auto"/>
        <w:ind w:left="-180"/>
        <w:rPr>
          <w:rFonts w:ascii="Arial" w:hAnsi="Arial" w:cs="Arial"/>
        </w:rPr>
      </w:pPr>
      <w:r w:rsidRPr="00DB482D">
        <w:rPr>
          <w:rFonts w:ascii="Arial" w:hAnsi="Arial" w:cs="Arial"/>
          <w:vertAlign w:val="superscript"/>
        </w:rPr>
        <w:t>1</w:t>
      </w:r>
      <w:r w:rsidR="00DB482D">
        <w:rPr>
          <w:rFonts w:ascii="Arial" w:hAnsi="Arial" w:cs="Arial"/>
        </w:rPr>
        <w:t xml:space="preserve"> </w:t>
      </w:r>
      <w:hyperlink r:id="rId7" w:history="1">
        <w:r w:rsidR="00DB482D" w:rsidRPr="00DB482D">
          <w:rPr>
            <w:rStyle w:val="Hyperlink"/>
            <w:rFonts w:ascii="Arial" w:hAnsi="Arial" w:cs="Arial"/>
            <w:sz w:val="18"/>
          </w:rPr>
          <w:t>http://nces.ed.gov/ccd/tables/ACGR_RE_and_characteristics_2013-14.asp</w:t>
        </w:r>
      </w:hyperlink>
    </w:p>
    <w:p w:rsidR="00B15116" w:rsidRPr="00404706" w:rsidRDefault="00DD0250" w:rsidP="00404706">
      <w:pPr>
        <w:pStyle w:val="ListParagraph"/>
        <w:tabs>
          <w:tab w:val="left" w:pos="9059"/>
        </w:tabs>
        <w:spacing w:after="0" w:line="240" w:lineRule="auto"/>
        <w:ind w:left="-180"/>
        <w:rPr>
          <w:rFonts w:ascii="Arial" w:hAnsi="Arial" w:cs="Arial"/>
        </w:rPr>
      </w:pPr>
      <w:r w:rsidRPr="00B15116">
        <w:rPr>
          <w:rFonts w:ascii="Arial" w:hAnsi="Arial" w:cs="Arial"/>
          <w:vertAlign w:val="superscript"/>
        </w:rPr>
        <w:t>2</w:t>
      </w:r>
      <w:r w:rsidR="00B15116">
        <w:rPr>
          <w:rFonts w:ascii="Arial" w:hAnsi="Arial" w:cs="Arial"/>
        </w:rPr>
        <w:t xml:space="preserve"> </w:t>
      </w:r>
      <w:hyperlink r:id="rId8" w:history="1">
        <w:r w:rsidR="00B15116" w:rsidRPr="00B15116">
          <w:rPr>
            <w:rStyle w:val="Hyperlink"/>
            <w:rFonts w:ascii="Arial" w:hAnsi="Arial" w:cs="Arial"/>
            <w:sz w:val="18"/>
          </w:rPr>
          <w:t>http://www.gradnation.org/report/2015-building-grad-nation-report</w:t>
        </w:r>
      </w:hyperlink>
    </w:p>
    <w:p w:rsidR="00404706" w:rsidRPr="00404706" w:rsidRDefault="00DD0250" w:rsidP="00404706">
      <w:pPr>
        <w:pStyle w:val="ListParagraph"/>
        <w:tabs>
          <w:tab w:val="left" w:pos="9059"/>
        </w:tabs>
        <w:spacing w:after="0" w:line="240" w:lineRule="auto"/>
        <w:ind w:left="-180"/>
        <w:rPr>
          <w:rFonts w:ascii="Arial" w:hAnsi="Arial" w:cs="Arial"/>
          <w:sz w:val="18"/>
        </w:rPr>
      </w:pPr>
      <w:r w:rsidRPr="00404706">
        <w:rPr>
          <w:rFonts w:ascii="Arial" w:hAnsi="Arial" w:cs="Arial"/>
          <w:vertAlign w:val="superscript"/>
        </w:rPr>
        <w:t>3</w:t>
      </w:r>
      <w:r w:rsidR="00404706">
        <w:rPr>
          <w:rFonts w:ascii="Arial" w:hAnsi="Arial" w:cs="Arial"/>
        </w:rPr>
        <w:t xml:space="preserve"> </w:t>
      </w:r>
      <w:hyperlink r:id="rId9" w:history="1">
        <w:r w:rsidR="00404706" w:rsidRPr="00404706">
          <w:rPr>
            <w:rStyle w:val="Hyperlink"/>
            <w:rFonts w:ascii="Arial" w:hAnsi="Arial" w:cs="Arial"/>
            <w:sz w:val="18"/>
          </w:rPr>
          <w:t>http://www.edweek.org/media/ew/qc/2016/shr/16shr.ky.h35.pdf</w:t>
        </w:r>
      </w:hyperlink>
      <w:r w:rsidR="00404706" w:rsidRPr="00404706">
        <w:rPr>
          <w:rFonts w:ascii="Arial" w:hAnsi="Arial" w:cs="Arial"/>
          <w:sz w:val="18"/>
        </w:rPr>
        <w:t>, page 7</w:t>
      </w:r>
    </w:p>
    <w:p w:rsidR="006C2933" w:rsidRPr="006C2933" w:rsidRDefault="00DD0250" w:rsidP="006C2933">
      <w:pPr>
        <w:pStyle w:val="ListParagraph"/>
        <w:tabs>
          <w:tab w:val="left" w:pos="9059"/>
        </w:tabs>
        <w:spacing w:after="0" w:line="240" w:lineRule="auto"/>
        <w:ind w:left="-180"/>
        <w:rPr>
          <w:rFonts w:ascii="Arial" w:hAnsi="Arial" w:cs="Arial"/>
          <w:sz w:val="18"/>
        </w:rPr>
      </w:pPr>
      <w:r w:rsidRPr="006C2933">
        <w:rPr>
          <w:rFonts w:ascii="Arial" w:hAnsi="Arial" w:cs="Arial"/>
          <w:vertAlign w:val="superscript"/>
        </w:rPr>
        <w:t>4</w:t>
      </w:r>
      <w:r w:rsidR="006C2933" w:rsidRPr="006C2933">
        <w:rPr>
          <w:rFonts w:ascii="Arial" w:hAnsi="Arial" w:cs="Arial"/>
          <w:vertAlign w:val="superscript"/>
        </w:rPr>
        <w:t xml:space="preserve"> </w:t>
      </w:r>
      <w:hyperlink r:id="rId10" w:history="1">
        <w:r w:rsidR="006C2933" w:rsidRPr="006C2933">
          <w:rPr>
            <w:rStyle w:val="Hyperlink"/>
            <w:rFonts w:ascii="Arial" w:hAnsi="Arial" w:cs="Arial"/>
            <w:sz w:val="18"/>
          </w:rPr>
          <w:t>https://nces.ed.gov/nationsreportcard/statecomparisons/</w:t>
        </w:r>
      </w:hyperlink>
    </w:p>
    <w:p w:rsidR="001665CA" w:rsidRPr="001665CA" w:rsidRDefault="00DD0250" w:rsidP="001665CA">
      <w:pPr>
        <w:pStyle w:val="ListParagraph"/>
        <w:tabs>
          <w:tab w:val="left" w:pos="9059"/>
        </w:tabs>
        <w:spacing w:after="0" w:line="240" w:lineRule="auto"/>
        <w:ind w:left="-180"/>
        <w:rPr>
          <w:rFonts w:ascii="Arial" w:hAnsi="Arial" w:cs="Arial"/>
          <w:sz w:val="18"/>
        </w:rPr>
      </w:pPr>
      <w:r w:rsidRPr="001665CA">
        <w:rPr>
          <w:rFonts w:ascii="Arial" w:hAnsi="Arial" w:cs="Arial"/>
          <w:vertAlign w:val="superscript"/>
        </w:rPr>
        <w:t>5</w:t>
      </w:r>
      <w:r w:rsidR="001665CA">
        <w:rPr>
          <w:rFonts w:ascii="Arial" w:hAnsi="Arial" w:cs="Arial"/>
        </w:rPr>
        <w:t xml:space="preserve"> </w:t>
      </w:r>
      <w:hyperlink r:id="rId11" w:history="1">
        <w:r w:rsidR="001665CA" w:rsidRPr="001665CA">
          <w:rPr>
            <w:rStyle w:val="Hyperlink"/>
            <w:rFonts w:ascii="Arial" w:hAnsi="Arial" w:cs="Arial"/>
            <w:sz w:val="18"/>
          </w:rPr>
          <w:t>http://education.ky.gov/comm/news/Documents/R%2015-091%20ACT%202015%20grads.pdf</w:t>
        </w:r>
      </w:hyperlink>
    </w:p>
    <w:p w:rsidR="0097215F" w:rsidRPr="0097215F" w:rsidRDefault="00DD0250" w:rsidP="0097215F">
      <w:pPr>
        <w:pStyle w:val="ListParagraph"/>
        <w:tabs>
          <w:tab w:val="left" w:pos="9059"/>
        </w:tabs>
        <w:spacing w:after="0" w:line="240" w:lineRule="auto"/>
        <w:ind w:left="-180"/>
        <w:rPr>
          <w:rFonts w:ascii="Arial" w:hAnsi="Arial" w:cs="Arial"/>
          <w:sz w:val="18"/>
          <w:szCs w:val="18"/>
        </w:rPr>
      </w:pPr>
      <w:r w:rsidRPr="0097215F">
        <w:rPr>
          <w:rFonts w:ascii="Arial" w:hAnsi="Arial" w:cs="Arial"/>
          <w:vertAlign w:val="superscript"/>
        </w:rPr>
        <w:t>6</w:t>
      </w:r>
      <w:r w:rsidR="0097215F">
        <w:rPr>
          <w:rFonts w:ascii="Arial" w:hAnsi="Arial" w:cs="Arial"/>
        </w:rPr>
        <w:t xml:space="preserve"> </w:t>
      </w:r>
      <w:hyperlink r:id="rId12" w:history="1">
        <w:r w:rsidR="0097215F" w:rsidRPr="0097215F">
          <w:rPr>
            <w:rStyle w:val="Hyperlink"/>
            <w:rFonts w:ascii="Arial" w:hAnsi="Arial" w:cs="Arial"/>
            <w:sz w:val="18"/>
            <w:szCs w:val="18"/>
          </w:rPr>
          <w:t>http://education.ky.gov/comm/news/Documents/R15-097AP-SAT.pdf</w:t>
        </w:r>
      </w:hyperlink>
    </w:p>
    <w:p w:rsidR="00DD0250" w:rsidRPr="00854046" w:rsidRDefault="00DD0250" w:rsidP="00E11B87">
      <w:pPr>
        <w:pStyle w:val="ListParagraph"/>
        <w:tabs>
          <w:tab w:val="left" w:pos="9059"/>
        </w:tabs>
        <w:spacing w:after="0" w:line="240" w:lineRule="auto"/>
        <w:ind w:left="-180"/>
        <w:rPr>
          <w:rFonts w:ascii="Arial" w:hAnsi="Arial" w:cs="Arial"/>
          <w:sz w:val="18"/>
        </w:rPr>
      </w:pPr>
      <w:r w:rsidRPr="00854046">
        <w:rPr>
          <w:rFonts w:ascii="Arial" w:hAnsi="Arial" w:cs="Arial"/>
          <w:vertAlign w:val="superscript"/>
        </w:rPr>
        <w:t>7</w:t>
      </w:r>
      <w:r w:rsidR="00D5288C">
        <w:rPr>
          <w:rFonts w:ascii="Arial" w:hAnsi="Arial" w:cs="Arial"/>
        </w:rPr>
        <w:t xml:space="preserve"> </w:t>
      </w:r>
      <w:hyperlink r:id="rId13" w:history="1">
        <w:r w:rsidR="00854046" w:rsidRPr="00854046">
          <w:rPr>
            <w:rStyle w:val="Hyperlink"/>
            <w:rFonts w:ascii="Arial" w:hAnsi="Arial" w:cs="Arial"/>
            <w:sz w:val="18"/>
          </w:rPr>
          <w:t>http://www.corestandards.org/standards-in-your-state/</w:t>
        </w:r>
      </w:hyperlink>
    </w:p>
    <w:p w:rsidR="00854046" w:rsidRDefault="00854046" w:rsidP="00854046">
      <w:pPr>
        <w:pStyle w:val="ListParagraph"/>
        <w:tabs>
          <w:tab w:val="left" w:pos="9059"/>
        </w:tabs>
        <w:spacing w:after="0" w:line="240" w:lineRule="auto"/>
        <w:ind w:left="-180"/>
        <w:rPr>
          <w:rFonts w:ascii="Arial" w:hAnsi="Arial" w:cs="Arial"/>
          <w:sz w:val="18"/>
        </w:rPr>
      </w:pPr>
      <w:r w:rsidRPr="00854046">
        <w:rPr>
          <w:rFonts w:ascii="Arial" w:hAnsi="Arial" w:cs="Arial"/>
          <w:sz w:val="18"/>
        </w:rPr>
        <w:t xml:space="preserve">   </w:t>
      </w:r>
      <w:hyperlink r:id="rId14" w:history="1">
        <w:r w:rsidRPr="00854046">
          <w:rPr>
            <w:rStyle w:val="Hyperlink"/>
            <w:rFonts w:ascii="Arial" w:hAnsi="Arial" w:cs="Arial"/>
            <w:sz w:val="18"/>
          </w:rPr>
          <w:t>https://nces.ed.gov/nationsreportcard/statecomparisons/</w:t>
        </w:r>
      </w:hyperlink>
    </w:p>
    <w:p w:rsidR="008371EA" w:rsidRDefault="008371EA" w:rsidP="008371EA">
      <w:pPr>
        <w:pStyle w:val="ListParagraph"/>
        <w:tabs>
          <w:tab w:val="left" w:pos="9059"/>
        </w:tabs>
        <w:spacing w:after="0" w:line="240" w:lineRule="auto"/>
        <w:ind w:left="-180"/>
        <w:rPr>
          <w:rFonts w:ascii="Arial" w:hAnsi="Arial" w:cs="Arial"/>
          <w:sz w:val="18"/>
        </w:rPr>
      </w:pPr>
      <w:r w:rsidRPr="00A65CAC">
        <w:rPr>
          <w:rFonts w:ascii="Arial" w:hAnsi="Arial" w:cs="Arial"/>
          <w:vertAlign w:val="superscript"/>
        </w:rPr>
        <w:t>8</w:t>
      </w:r>
      <w:r>
        <w:rPr>
          <w:rFonts w:ascii="Arial" w:hAnsi="Arial" w:cs="Arial"/>
          <w:vertAlign w:val="superscript"/>
        </w:rPr>
        <w:t xml:space="preserve"> </w:t>
      </w:r>
      <w:hyperlink r:id="rId15" w:history="1">
        <w:r w:rsidRPr="00A203BA">
          <w:rPr>
            <w:rStyle w:val="Hyperlink"/>
            <w:rFonts w:ascii="Arial" w:hAnsi="Arial" w:cs="Arial"/>
            <w:sz w:val="18"/>
          </w:rPr>
          <w:t>http://education.ky.gov/comm/UL/Pages/Kentucky-C</w:t>
        </w:r>
        <w:r w:rsidRPr="00A203BA">
          <w:rPr>
            <w:rStyle w:val="Hyperlink"/>
            <w:rFonts w:ascii="Arial" w:hAnsi="Arial" w:cs="Arial"/>
            <w:sz w:val="18"/>
          </w:rPr>
          <w:t>o</w:t>
        </w:r>
        <w:r w:rsidRPr="00A203BA">
          <w:rPr>
            <w:rStyle w:val="Hyperlink"/>
            <w:rFonts w:ascii="Arial" w:hAnsi="Arial" w:cs="Arial"/>
            <w:sz w:val="18"/>
          </w:rPr>
          <w:t>re-Academic-Standards-Challenge.aspx</w:t>
        </w:r>
      </w:hyperlink>
    </w:p>
    <w:p w:rsidR="00202EDF" w:rsidRDefault="008371EA" w:rsidP="00E11B87">
      <w:pPr>
        <w:pStyle w:val="ListParagraph"/>
        <w:tabs>
          <w:tab w:val="left" w:pos="9059"/>
        </w:tabs>
        <w:spacing w:after="0" w:line="240" w:lineRule="auto"/>
        <w:ind w:left="-180"/>
        <w:rPr>
          <w:rFonts w:ascii="Arial" w:hAnsi="Arial" w:cs="Arial"/>
          <w:sz w:val="18"/>
        </w:rPr>
      </w:pPr>
      <w:r w:rsidRPr="005A4775">
        <w:rPr>
          <w:rFonts w:ascii="Arial" w:hAnsi="Arial" w:cs="Arial"/>
          <w:vertAlign w:val="superscript"/>
        </w:rPr>
        <w:t>9</w:t>
      </w:r>
      <w:r>
        <w:rPr>
          <w:rFonts w:ascii="Arial" w:hAnsi="Arial" w:cs="Arial"/>
          <w:vertAlign w:val="superscript"/>
        </w:rPr>
        <w:t xml:space="preserve"> </w:t>
      </w:r>
      <w:hyperlink r:id="rId16" w:history="1">
        <w:r w:rsidR="00202EDF" w:rsidRPr="00A203BA">
          <w:rPr>
            <w:rStyle w:val="Hyperlink"/>
            <w:rFonts w:ascii="Arial" w:hAnsi="Arial" w:cs="Arial"/>
            <w:sz w:val="18"/>
          </w:rPr>
          <w:t>http://applications.education.ky.gov/SRC</w:t>
        </w:r>
        <w:r w:rsidR="00202EDF" w:rsidRPr="00A203BA">
          <w:rPr>
            <w:rStyle w:val="Hyperlink"/>
            <w:rFonts w:ascii="Arial" w:hAnsi="Arial" w:cs="Arial"/>
            <w:sz w:val="18"/>
          </w:rPr>
          <w:t>/</w:t>
        </w:r>
        <w:r w:rsidR="00202EDF" w:rsidRPr="00A203BA">
          <w:rPr>
            <w:rStyle w:val="Hyperlink"/>
            <w:rFonts w:ascii="Arial" w:hAnsi="Arial" w:cs="Arial"/>
            <w:sz w:val="18"/>
          </w:rPr>
          <w:t>AccountabilityByState.a</w:t>
        </w:r>
        <w:r w:rsidR="00202EDF" w:rsidRPr="00A203BA">
          <w:rPr>
            <w:rStyle w:val="Hyperlink"/>
            <w:rFonts w:ascii="Arial" w:hAnsi="Arial" w:cs="Arial"/>
            <w:sz w:val="18"/>
          </w:rPr>
          <w:t>s</w:t>
        </w:r>
        <w:r w:rsidR="00202EDF" w:rsidRPr="00A203BA">
          <w:rPr>
            <w:rStyle w:val="Hyperlink"/>
            <w:rFonts w:ascii="Arial" w:hAnsi="Arial" w:cs="Arial"/>
            <w:sz w:val="18"/>
          </w:rPr>
          <w:t>px</w:t>
        </w:r>
      </w:hyperlink>
      <w:r w:rsidR="00202EDF">
        <w:rPr>
          <w:rFonts w:ascii="Arial" w:hAnsi="Arial" w:cs="Arial"/>
          <w:sz w:val="18"/>
        </w:rPr>
        <w:t xml:space="preserve"> &gt;Learners&gt;CCR</w:t>
      </w:r>
    </w:p>
    <w:p w:rsidR="00202EDF" w:rsidRPr="00C57AFD" w:rsidRDefault="00E11B87" w:rsidP="00E11B87">
      <w:pPr>
        <w:tabs>
          <w:tab w:val="left" w:pos="9059"/>
        </w:tabs>
        <w:spacing w:after="0" w:line="240" w:lineRule="auto"/>
        <w:ind w:left="-180"/>
        <w:rPr>
          <w:rFonts w:ascii="Arial" w:hAnsi="Arial" w:cs="Arial"/>
          <w:sz w:val="18"/>
        </w:rPr>
      </w:pPr>
      <w:r>
        <w:rPr>
          <w:rFonts w:ascii="Arial" w:hAnsi="Arial" w:cs="Arial"/>
        </w:rPr>
        <w:t xml:space="preserve">  </w:t>
      </w:r>
      <w:hyperlink r:id="rId17" w:history="1">
        <w:r w:rsidR="00202EDF" w:rsidRPr="00C57AFD">
          <w:rPr>
            <w:rStyle w:val="Hyperlink"/>
            <w:rFonts w:ascii="Arial" w:hAnsi="Arial" w:cs="Arial"/>
            <w:sz w:val="18"/>
          </w:rPr>
          <w:t>http://applications.education.ky.gov/SRC/CareerTechE</w:t>
        </w:r>
        <w:r w:rsidR="00202EDF" w:rsidRPr="00C57AFD">
          <w:rPr>
            <w:rStyle w:val="Hyperlink"/>
            <w:rFonts w:ascii="Arial" w:hAnsi="Arial" w:cs="Arial"/>
            <w:sz w:val="18"/>
          </w:rPr>
          <w:t>d</w:t>
        </w:r>
        <w:r w:rsidR="00202EDF" w:rsidRPr="00C57AFD">
          <w:rPr>
            <w:rStyle w:val="Hyperlink"/>
            <w:rFonts w:ascii="Arial" w:hAnsi="Arial" w:cs="Arial"/>
            <w:sz w:val="18"/>
          </w:rPr>
          <w:t>ucationByState</w:t>
        </w:r>
        <w:r w:rsidR="00202EDF" w:rsidRPr="00C57AFD">
          <w:rPr>
            <w:rStyle w:val="Hyperlink"/>
            <w:rFonts w:ascii="Arial" w:hAnsi="Arial" w:cs="Arial"/>
            <w:sz w:val="18"/>
          </w:rPr>
          <w:t>.</w:t>
        </w:r>
        <w:r w:rsidR="00202EDF" w:rsidRPr="00C57AFD">
          <w:rPr>
            <w:rStyle w:val="Hyperlink"/>
            <w:rFonts w:ascii="Arial" w:hAnsi="Arial" w:cs="Arial"/>
            <w:sz w:val="18"/>
          </w:rPr>
          <w:t>aspx</w:t>
        </w:r>
      </w:hyperlink>
      <w:r w:rsidR="0038529A">
        <w:rPr>
          <w:rStyle w:val="Hyperlink"/>
          <w:rFonts w:ascii="Arial" w:hAnsi="Arial" w:cs="Arial"/>
          <w:sz w:val="18"/>
        </w:rPr>
        <w:t xml:space="preserve"> </w:t>
      </w:r>
      <w:r w:rsidR="0038529A" w:rsidRPr="00C57AFD">
        <w:rPr>
          <w:rStyle w:val="Hyperlink"/>
          <w:rFonts w:ascii="Arial" w:hAnsi="Arial" w:cs="Arial"/>
          <w:color w:val="auto"/>
          <w:sz w:val="18"/>
          <w:u w:val="none"/>
        </w:rPr>
        <w:t>&gt;CTE Specific College/Career-Readiness</w:t>
      </w:r>
    </w:p>
    <w:p w:rsidR="00EC418E" w:rsidRDefault="002073EB" w:rsidP="00FB655D">
      <w:pPr>
        <w:tabs>
          <w:tab w:val="left" w:pos="9059"/>
        </w:tabs>
        <w:spacing w:after="0" w:line="240" w:lineRule="auto"/>
        <w:ind w:left="-180"/>
        <w:rPr>
          <w:rFonts w:ascii="Arial" w:hAnsi="Arial" w:cs="Arial"/>
          <w:sz w:val="18"/>
        </w:rPr>
      </w:pPr>
      <w:r w:rsidRPr="000D2F05">
        <w:rPr>
          <w:rFonts w:ascii="Arial" w:hAnsi="Arial" w:cs="Arial"/>
          <w:vertAlign w:val="superscript"/>
        </w:rPr>
        <w:t>10</w:t>
      </w:r>
      <w:r>
        <w:rPr>
          <w:rFonts w:ascii="Arial" w:hAnsi="Arial" w:cs="Arial"/>
          <w:vertAlign w:val="superscript"/>
        </w:rPr>
        <w:t xml:space="preserve"> </w:t>
      </w:r>
      <w:hyperlink r:id="rId18" w:history="1">
        <w:r w:rsidR="00EC418E" w:rsidRPr="00A203BA">
          <w:rPr>
            <w:rStyle w:val="Hyperlink"/>
            <w:rFonts w:ascii="Arial" w:hAnsi="Arial" w:cs="Arial"/>
            <w:sz w:val="18"/>
          </w:rPr>
          <w:t>http://education.ky.gov/AA/Assessments</w:t>
        </w:r>
        <w:r w:rsidR="00EC418E" w:rsidRPr="00A203BA">
          <w:rPr>
            <w:rStyle w:val="Hyperlink"/>
            <w:rFonts w:ascii="Arial" w:hAnsi="Arial" w:cs="Arial"/>
            <w:sz w:val="18"/>
          </w:rPr>
          <w:t>/</w:t>
        </w:r>
        <w:r w:rsidR="00EC418E" w:rsidRPr="00A203BA">
          <w:rPr>
            <w:rStyle w:val="Hyperlink"/>
            <w:rFonts w:ascii="Arial" w:hAnsi="Arial" w:cs="Arial"/>
            <w:sz w:val="18"/>
          </w:rPr>
          <w:t>Documents/Kentucky%20State%20Assessment%20time.pdf</w:t>
        </w:r>
      </w:hyperlink>
    </w:p>
    <w:p w:rsidR="00DD0250" w:rsidRDefault="002073EB" w:rsidP="00E11B87">
      <w:pPr>
        <w:pStyle w:val="ListParagraph"/>
        <w:tabs>
          <w:tab w:val="left" w:pos="9059"/>
        </w:tabs>
        <w:spacing w:after="0" w:line="240" w:lineRule="auto"/>
        <w:ind w:left="-180"/>
        <w:rPr>
          <w:rFonts w:ascii="Arial" w:hAnsi="Arial" w:cs="Arial"/>
          <w:sz w:val="18"/>
        </w:rPr>
      </w:pPr>
      <w:r w:rsidRPr="00702F8F">
        <w:rPr>
          <w:rFonts w:ascii="Arial" w:hAnsi="Arial" w:cs="Arial"/>
          <w:sz w:val="18"/>
          <w:vertAlign w:val="superscript"/>
        </w:rPr>
        <w:t>11</w:t>
      </w:r>
      <w:r>
        <w:rPr>
          <w:rFonts w:ascii="Arial" w:hAnsi="Arial" w:cs="Arial"/>
          <w:sz w:val="18"/>
          <w:vertAlign w:val="superscript"/>
        </w:rPr>
        <w:t xml:space="preserve"> </w:t>
      </w:r>
      <w:hyperlink r:id="rId19" w:history="1">
        <w:r w:rsidR="00202EDF" w:rsidRPr="00A203BA">
          <w:rPr>
            <w:rStyle w:val="Hyperlink"/>
            <w:rFonts w:ascii="Arial" w:hAnsi="Arial" w:cs="Arial"/>
            <w:sz w:val="18"/>
          </w:rPr>
          <w:t>http://www.tellk</w:t>
        </w:r>
        <w:r w:rsidR="00202EDF" w:rsidRPr="00A203BA">
          <w:rPr>
            <w:rStyle w:val="Hyperlink"/>
            <w:rFonts w:ascii="Arial" w:hAnsi="Arial" w:cs="Arial"/>
            <w:sz w:val="18"/>
          </w:rPr>
          <w:t>e</w:t>
        </w:r>
        <w:r w:rsidR="00202EDF" w:rsidRPr="00A203BA">
          <w:rPr>
            <w:rStyle w:val="Hyperlink"/>
            <w:rFonts w:ascii="Arial" w:hAnsi="Arial" w:cs="Arial"/>
            <w:sz w:val="18"/>
          </w:rPr>
          <w:t>ntucky.org/</w:t>
        </w:r>
      </w:hyperlink>
    </w:p>
    <w:p w:rsidR="0013226E" w:rsidRDefault="002073EB" w:rsidP="00F528BC">
      <w:pPr>
        <w:pStyle w:val="ListParagraph"/>
        <w:tabs>
          <w:tab w:val="left" w:pos="9059"/>
        </w:tabs>
        <w:spacing w:after="0" w:line="240" w:lineRule="auto"/>
        <w:ind w:left="-180" w:right="-450"/>
      </w:pPr>
      <w:r>
        <w:rPr>
          <w:rFonts w:ascii="Arial" w:hAnsi="Arial" w:cs="Arial"/>
          <w:sz w:val="18"/>
          <w:vertAlign w:val="superscript"/>
        </w:rPr>
        <w:t xml:space="preserve">12 </w:t>
      </w:r>
      <w:hyperlink r:id="rId20" w:history="1">
        <w:r w:rsidR="0013226E" w:rsidRPr="0013226E">
          <w:rPr>
            <w:rStyle w:val="Hyperlink"/>
            <w:rFonts w:ascii="Arial" w:hAnsi="Arial" w:cs="Arial"/>
            <w:sz w:val="18"/>
          </w:rPr>
          <w:t>http://www.nbpts.org/sites/default/files/certification_2015/2015_staterankings_all_nbct</w:t>
        </w:r>
        <w:r w:rsidR="0013226E" w:rsidRPr="0013226E">
          <w:rPr>
            <w:rStyle w:val="Hyperlink"/>
            <w:rFonts w:ascii="Arial" w:hAnsi="Arial" w:cs="Arial"/>
            <w:sz w:val="18"/>
          </w:rPr>
          <w:t>s</w:t>
        </w:r>
        <w:r w:rsidR="0013226E" w:rsidRPr="0013226E">
          <w:rPr>
            <w:rStyle w:val="Hyperlink"/>
            <w:rFonts w:ascii="Arial" w:hAnsi="Arial" w:cs="Arial"/>
            <w:sz w:val="18"/>
          </w:rPr>
          <w:t>_percent_of_teaching_population.pdf</w:t>
        </w:r>
      </w:hyperlink>
    </w:p>
    <w:p w:rsidR="00F528BC" w:rsidRDefault="00944DAD" w:rsidP="00F528BC">
      <w:pPr>
        <w:pStyle w:val="ListParagraph"/>
        <w:tabs>
          <w:tab w:val="left" w:pos="9059"/>
        </w:tabs>
        <w:spacing w:after="0" w:line="240" w:lineRule="auto"/>
        <w:ind w:left="-180" w:right="-450"/>
        <w:rPr>
          <w:rFonts w:ascii="Arial" w:hAnsi="Arial" w:cs="Arial"/>
          <w:sz w:val="18"/>
        </w:rPr>
      </w:pPr>
      <w:r>
        <w:rPr>
          <w:rFonts w:ascii="Arial" w:hAnsi="Arial" w:cs="Arial"/>
          <w:sz w:val="18"/>
          <w:vertAlign w:val="superscript"/>
        </w:rPr>
        <w:t>1</w:t>
      </w:r>
      <w:r w:rsidR="002073EB">
        <w:rPr>
          <w:rFonts w:ascii="Arial" w:hAnsi="Arial" w:cs="Arial"/>
          <w:sz w:val="18"/>
          <w:vertAlign w:val="superscript"/>
        </w:rPr>
        <w:t>3</w:t>
      </w:r>
      <w:r>
        <w:rPr>
          <w:rFonts w:ascii="Arial" w:hAnsi="Arial" w:cs="Arial"/>
          <w:sz w:val="18"/>
          <w:vertAlign w:val="superscript"/>
        </w:rPr>
        <w:t xml:space="preserve"> </w:t>
      </w:r>
      <w:hyperlink r:id="rId21" w:history="1">
        <w:r w:rsidR="00702F8F" w:rsidRPr="00404706">
          <w:rPr>
            <w:rStyle w:val="Hyperlink"/>
            <w:rFonts w:ascii="Arial" w:hAnsi="Arial" w:cs="Arial"/>
            <w:sz w:val="18"/>
          </w:rPr>
          <w:t>http://www.edweek.org/media/ew/qc/201</w:t>
        </w:r>
        <w:r w:rsidR="00702F8F" w:rsidRPr="00404706">
          <w:rPr>
            <w:rStyle w:val="Hyperlink"/>
            <w:rFonts w:ascii="Arial" w:hAnsi="Arial" w:cs="Arial"/>
            <w:sz w:val="18"/>
          </w:rPr>
          <w:t>6</w:t>
        </w:r>
        <w:r w:rsidR="00702F8F" w:rsidRPr="00404706">
          <w:rPr>
            <w:rStyle w:val="Hyperlink"/>
            <w:rFonts w:ascii="Arial" w:hAnsi="Arial" w:cs="Arial"/>
            <w:sz w:val="18"/>
          </w:rPr>
          <w:t>/</w:t>
        </w:r>
        <w:r w:rsidR="00702F8F" w:rsidRPr="00404706">
          <w:rPr>
            <w:rStyle w:val="Hyperlink"/>
            <w:rFonts w:ascii="Arial" w:hAnsi="Arial" w:cs="Arial"/>
            <w:sz w:val="18"/>
          </w:rPr>
          <w:t>s</w:t>
        </w:r>
        <w:r w:rsidR="00702F8F" w:rsidRPr="00404706">
          <w:rPr>
            <w:rStyle w:val="Hyperlink"/>
            <w:rFonts w:ascii="Arial" w:hAnsi="Arial" w:cs="Arial"/>
            <w:sz w:val="18"/>
          </w:rPr>
          <w:t>hr/16shr.ky.h35.pdf</w:t>
        </w:r>
      </w:hyperlink>
      <w:r w:rsidR="00702F8F">
        <w:rPr>
          <w:rFonts w:ascii="Arial" w:hAnsi="Arial" w:cs="Arial"/>
          <w:sz w:val="18"/>
        </w:rPr>
        <w:t>, page 9</w:t>
      </w:r>
    </w:p>
    <w:p w:rsidR="001B3DA0" w:rsidRPr="00F528BC" w:rsidRDefault="00C900C9" w:rsidP="00F528BC">
      <w:pPr>
        <w:pStyle w:val="ListParagraph"/>
        <w:tabs>
          <w:tab w:val="left" w:pos="9059"/>
        </w:tabs>
        <w:spacing w:after="0" w:line="240" w:lineRule="auto"/>
        <w:ind w:left="-180" w:right="-450"/>
        <w:rPr>
          <w:rFonts w:ascii="Arial" w:hAnsi="Arial" w:cs="Arial"/>
          <w:sz w:val="18"/>
        </w:rPr>
      </w:pPr>
      <w:r>
        <w:rPr>
          <w:rFonts w:ascii="Arial" w:hAnsi="Arial" w:cs="Arial"/>
          <w:b/>
          <w:i/>
        </w:rPr>
        <w:lastRenderedPageBreak/>
        <w:t>Overall, h</w:t>
      </w:r>
      <w:r w:rsidR="002E3BA1" w:rsidRPr="00B77EC2">
        <w:rPr>
          <w:rFonts w:ascii="Arial" w:hAnsi="Arial" w:cs="Arial"/>
          <w:b/>
          <w:i/>
        </w:rPr>
        <w:t>ow do</w:t>
      </w:r>
      <w:r w:rsidR="001B3DA0" w:rsidRPr="00B77EC2">
        <w:rPr>
          <w:rFonts w:ascii="Arial" w:hAnsi="Arial" w:cs="Arial"/>
          <w:b/>
          <w:i/>
        </w:rPr>
        <w:t>es</w:t>
      </w:r>
      <w:r w:rsidR="002E3BA1" w:rsidRPr="00B77EC2">
        <w:rPr>
          <w:rFonts w:ascii="Arial" w:hAnsi="Arial" w:cs="Arial"/>
          <w:b/>
          <w:i/>
        </w:rPr>
        <w:t xml:space="preserve"> Kentucky </w:t>
      </w:r>
      <w:r w:rsidR="001B3DA0" w:rsidRPr="00B77EC2">
        <w:rPr>
          <w:rFonts w:ascii="Arial" w:hAnsi="Arial" w:cs="Arial"/>
          <w:b/>
          <w:i/>
        </w:rPr>
        <w:t>stack up against other states?</w:t>
      </w:r>
    </w:p>
    <w:p w:rsidR="0059672F" w:rsidRPr="00B77EC2" w:rsidRDefault="0059672F" w:rsidP="004578C3">
      <w:pPr>
        <w:pStyle w:val="Default"/>
        <w:numPr>
          <w:ilvl w:val="0"/>
          <w:numId w:val="2"/>
        </w:numPr>
        <w:tabs>
          <w:tab w:val="left" w:pos="630"/>
        </w:tabs>
        <w:ind w:left="360"/>
        <w:rPr>
          <w:rFonts w:ascii="Arial" w:hAnsi="Arial" w:cs="Arial"/>
          <w:sz w:val="22"/>
          <w:szCs w:val="22"/>
        </w:rPr>
      </w:pPr>
      <w:r w:rsidRPr="00B77EC2">
        <w:rPr>
          <w:rFonts w:ascii="Arial" w:hAnsi="Arial" w:cs="Arial"/>
          <w:sz w:val="22"/>
          <w:szCs w:val="22"/>
        </w:rPr>
        <w:t xml:space="preserve">Buoyed by increased student achievement and a higher graduation rate, </w:t>
      </w:r>
      <w:r w:rsidR="00FA4044" w:rsidRPr="00524478">
        <w:rPr>
          <w:rFonts w:ascii="Arial" w:hAnsi="Arial" w:cs="Arial"/>
          <w:b/>
          <w:sz w:val="22"/>
          <w:szCs w:val="22"/>
        </w:rPr>
        <w:t xml:space="preserve">in 2016 </w:t>
      </w:r>
      <w:r w:rsidRPr="00524478">
        <w:rPr>
          <w:rFonts w:ascii="Arial" w:hAnsi="Arial" w:cs="Arial"/>
          <w:b/>
          <w:sz w:val="22"/>
          <w:szCs w:val="22"/>
        </w:rPr>
        <w:t xml:space="preserve">Kentucky moved up two places in the annual </w:t>
      </w:r>
      <w:r w:rsidRPr="00524478">
        <w:rPr>
          <w:rFonts w:ascii="Arial" w:hAnsi="Arial" w:cs="Arial"/>
          <w:b/>
          <w:i/>
          <w:sz w:val="22"/>
          <w:szCs w:val="22"/>
        </w:rPr>
        <w:t>Quality Counts</w:t>
      </w:r>
      <w:r w:rsidRPr="00524478">
        <w:rPr>
          <w:rFonts w:ascii="Arial" w:hAnsi="Arial" w:cs="Arial"/>
          <w:b/>
          <w:sz w:val="22"/>
          <w:szCs w:val="22"/>
        </w:rPr>
        <w:t xml:space="preserve"> State-of-the-States Report Card</w:t>
      </w:r>
      <w:r w:rsidRPr="00B77EC2">
        <w:rPr>
          <w:rFonts w:ascii="Arial" w:hAnsi="Arial" w:cs="Arial"/>
          <w:sz w:val="22"/>
          <w:szCs w:val="22"/>
        </w:rPr>
        <w:t xml:space="preserve"> produced by </w:t>
      </w:r>
      <w:r w:rsidRPr="00B77EC2">
        <w:rPr>
          <w:rFonts w:ascii="Arial" w:hAnsi="Arial" w:cs="Arial"/>
          <w:i/>
          <w:sz w:val="22"/>
          <w:szCs w:val="22"/>
        </w:rPr>
        <w:t>Education Week</w:t>
      </w:r>
      <w:r w:rsidRPr="00B77EC2">
        <w:rPr>
          <w:rFonts w:ascii="Arial" w:hAnsi="Arial" w:cs="Arial"/>
          <w:sz w:val="22"/>
          <w:szCs w:val="22"/>
        </w:rPr>
        <w:t>, a national publication that focuses on P-12 education.</w:t>
      </w:r>
    </w:p>
    <w:p w:rsidR="0059672F" w:rsidRPr="00B77EC2" w:rsidRDefault="0059672F" w:rsidP="004578C3">
      <w:pPr>
        <w:pStyle w:val="Default"/>
        <w:tabs>
          <w:tab w:val="left" w:pos="630"/>
        </w:tabs>
        <w:ind w:left="360" w:hanging="360"/>
        <w:rPr>
          <w:rFonts w:ascii="Arial" w:hAnsi="Arial" w:cs="Arial"/>
          <w:sz w:val="22"/>
          <w:szCs w:val="22"/>
        </w:rPr>
      </w:pPr>
    </w:p>
    <w:p w:rsidR="00B77EC2" w:rsidRPr="00524478" w:rsidRDefault="0059672F" w:rsidP="004578C3">
      <w:pPr>
        <w:pStyle w:val="ListParagraph"/>
        <w:numPr>
          <w:ilvl w:val="0"/>
          <w:numId w:val="2"/>
        </w:numPr>
        <w:tabs>
          <w:tab w:val="left" w:pos="630"/>
          <w:tab w:val="left" w:pos="9059"/>
        </w:tabs>
        <w:spacing w:after="0" w:line="240" w:lineRule="auto"/>
        <w:ind w:left="360"/>
        <w:rPr>
          <w:rFonts w:ascii="Arial" w:hAnsi="Arial" w:cs="Arial"/>
          <w:b/>
        </w:rPr>
      </w:pPr>
      <w:r w:rsidRPr="00B77EC2">
        <w:rPr>
          <w:rFonts w:ascii="Arial" w:hAnsi="Arial" w:cs="Arial"/>
        </w:rPr>
        <w:t>The report tracks 39 indicators in three areas: K-12 achievement</w:t>
      </w:r>
      <w:r w:rsidR="00FA4044">
        <w:rPr>
          <w:rFonts w:ascii="Arial" w:hAnsi="Arial" w:cs="Arial"/>
        </w:rPr>
        <w:t xml:space="preserve">, </w:t>
      </w:r>
      <w:r w:rsidRPr="00B77EC2">
        <w:rPr>
          <w:rFonts w:ascii="Arial" w:hAnsi="Arial" w:cs="Arial"/>
        </w:rPr>
        <w:t>school finance</w:t>
      </w:r>
      <w:r w:rsidR="00FA4044">
        <w:rPr>
          <w:rFonts w:ascii="Arial" w:hAnsi="Arial" w:cs="Arial"/>
        </w:rPr>
        <w:t xml:space="preserve"> and chance for success</w:t>
      </w:r>
      <w:r w:rsidRPr="00B77EC2">
        <w:rPr>
          <w:rFonts w:ascii="Arial" w:hAnsi="Arial" w:cs="Arial"/>
        </w:rPr>
        <w:t xml:space="preserve">. States earn points based on their performance on the indicators and are assigned grades and a ranking. </w:t>
      </w:r>
      <w:r w:rsidRPr="00524478">
        <w:rPr>
          <w:rFonts w:ascii="Arial" w:hAnsi="Arial" w:cs="Arial"/>
          <w:b/>
        </w:rPr>
        <w:t>Kentucky received an overall grade of C, the same as the nation, putting it in 27th place, up from 29th place last year.</w:t>
      </w:r>
    </w:p>
    <w:p w:rsidR="00B77EC2" w:rsidRPr="00B77EC2" w:rsidRDefault="00B77EC2" w:rsidP="004578C3">
      <w:pPr>
        <w:tabs>
          <w:tab w:val="left" w:pos="630"/>
          <w:tab w:val="left" w:pos="9059"/>
        </w:tabs>
        <w:spacing w:after="0" w:line="240" w:lineRule="auto"/>
        <w:ind w:left="360" w:hanging="360"/>
        <w:rPr>
          <w:rFonts w:ascii="Arial" w:hAnsi="Arial" w:cs="Arial"/>
        </w:rPr>
      </w:pPr>
    </w:p>
    <w:p w:rsidR="00341BE8" w:rsidRDefault="0059672F" w:rsidP="004578C3">
      <w:pPr>
        <w:pStyle w:val="ListParagraph"/>
        <w:numPr>
          <w:ilvl w:val="0"/>
          <w:numId w:val="2"/>
        </w:numPr>
        <w:tabs>
          <w:tab w:val="left" w:pos="630"/>
        </w:tabs>
        <w:spacing w:after="0" w:line="240" w:lineRule="auto"/>
        <w:ind w:left="360"/>
        <w:rPr>
          <w:rFonts w:ascii="Arial" w:hAnsi="Arial" w:cs="Arial"/>
        </w:rPr>
      </w:pPr>
      <w:r w:rsidRPr="00524478">
        <w:rPr>
          <w:rFonts w:ascii="Arial" w:hAnsi="Arial" w:cs="Arial"/>
          <w:b/>
        </w:rPr>
        <w:t xml:space="preserve">Kentucky’s highest ranking came in K-12 Achievement </w:t>
      </w:r>
      <w:r w:rsidR="00C85E37" w:rsidRPr="00524478">
        <w:rPr>
          <w:rFonts w:ascii="Arial" w:hAnsi="Arial" w:cs="Arial"/>
          <w:b/>
        </w:rPr>
        <w:t>at 16th place in the nation</w:t>
      </w:r>
      <w:r w:rsidR="00C85E37" w:rsidRPr="00B77EC2">
        <w:rPr>
          <w:rFonts w:ascii="Arial" w:hAnsi="Arial" w:cs="Arial"/>
        </w:rPr>
        <w:t xml:space="preserve">. </w:t>
      </w:r>
      <w:r w:rsidRPr="00B77EC2">
        <w:rPr>
          <w:rFonts w:ascii="Arial" w:hAnsi="Arial" w:cs="Arial"/>
        </w:rPr>
        <w:t xml:space="preserve">Within the </w:t>
      </w:r>
      <w:r w:rsidR="00341BE8">
        <w:rPr>
          <w:rFonts w:ascii="Arial" w:hAnsi="Arial" w:cs="Arial"/>
        </w:rPr>
        <w:t>category,</w:t>
      </w:r>
      <w:r w:rsidRPr="00B77EC2">
        <w:rPr>
          <w:rFonts w:ascii="Arial" w:hAnsi="Arial" w:cs="Arial"/>
        </w:rPr>
        <w:t xml:space="preserve"> </w:t>
      </w:r>
      <w:r w:rsidRPr="00524478">
        <w:rPr>
          <w:rFonts w:ascii="Arial" w:hAnsi="Arial" w:cs="Arial"/>
          <w:b/>
        </w:rPr>
        <w:t>Kentucky’s strongest showing is based on its improvement over the past 12 years</w:t>
      </w:r>
      <w:r w:rsidRPr="00B77EC2">
        <w:rPr>
          <w:rFonts w:ascii="Arial" w:hAnsi="Arial" w:cs="Arial"/>
        </w:rPr>
        <w:t xml:space="preserve"> in 4th-grade scores in math (2nd in the nation with a 13-point gain) and in reading (5th in the nation with a 9-point gain) on the National Assessment of Educational Progress (NAEP). The assessment, often referred to as the nation’s report card, is given in every state to a random group of students. In addition, Kentucky’s 4th-grade students ranked 9th in the country on the 2015 NAEP reading assessment.</w:t>
      </w:r>
    </w:p>
    <w:p w:rsidR="00341BE8" w:rsidRPr="00341BE8" w:rsidRDefault="00341BE8" w:rsidP="004578C3">
      <w:pPr>
        <w:pStyle w:val="ListParagraph"/>
        <w:tabs>
          <w:tab w:val="left" w:pos="630"/>
        </w:tabs>
        <w:ind w:left="360" w:hanging="360"/>
        <w:rPr>
          <w:rFonts w:ascii="Arial" w:hAnsi="Arial" w:cs="Arial"/>
        </w:rPr>
      </w:pPr>
    </w:p>
    <w:p w:rsidR="00341BE8" w:rsidRPr="007C1F5C" w:rsidRDefault="0059672F" w:rsidP="004578C3">
      <w:pPr>
        <w:pStyle w:val="ListParagraph"/>
        <w:numPr>
          <w:ilvl w:val="0"/>
          <w:numId w:val="2"/>
        </w:numPr>
        <w:tabs>
          <w:tab w:val="left" w:pos="630"/>
        </w:tabs>
        <w:spacing w:after="0" w:line="240" w:lineRule="auto"/>
        <w:ind w:left="360"/>
        <w:rPr>
          <w:rFonts w:ascii="Arial" w:hAnsi="Arial" w:cs="Arial"/>
          <w:b/>
        </w:rPr>
      </w:pPr>
      <w:r w:rsidRPr="007C1F5C">
        <w:rPr>
          <w:rFonts w:ascii="Arial" w:hAnsi="Arial" w:cs="Arial"/>
          <w:b/>
        </w:rPr>
        <w:t xml:space="preserve">Kentucky ranked </w:t>
      </w:r>
      <w:r w:rsidR="005815B5" w:rsidRPr="007C1F5C">
        <w:rPr>
          <w:rFonts w:ascii="Arial" w:hAnsi="Arial" w:cs="Arial"/>
          <w:b/>
        </w:rPr>
        <w:t xml:space="preserve">in 6th place nationwide with a 12.2 percent gain </w:t>
      </w:r>
      <w:r w:rsidRPr="007C1F5C">
        <w:rPr>
          <w:rFonts w:ascii="Arial" w:hAnsi="Arial" w:cs="Arial"/>
          <w:b/>
        </w:rPr>
        <w:t>in the improvement in its graduation rate between 2002 and 2012</w:t>
      </w:r>
      <w:r w:rsidR="005815B5" w:rsidRPr="007C1F5C">
        <w:rPr>
          <w:rFonts w:ascii="Arial" w:hAnsi="Arial" w:cs="Arial"/>
          <w:b/>
        </w:rPr>
        <w:t>.</w:t>
      </w:r>
    </w:p>
    <w:p w:rsidR="00341BE8" w:rsidRPr="00341BE8" w:rsidRDefault="00341BE8" w:rsidP="004578C3">
      <w:pPr>
        <w:pStyle w:val="ListParagraph"/>
        <w:tabs>
          <w:tab w:val="left" w:pos="630"/>
        </w:tabs>
        <w:ind w:left="360" w:hanging="360"/>
        <w:rPr>
          <w:rFonts w:ascii="Arial" w:hAnsi="Arial" w:cs="Arial"/>
        </w:rPr>
      </w:pPr>
    </w:p>
    <w:p w:rsidR="00341BE8" w:rsidRDefault="0059672F" w:rsidP="004578C3">
      <w:pPr>
        <w:pStyle w:val="ListParagraph"/>
        <w:numPr>
          <w:ilvl w:val="0"/>
          <w:numId w:val="2"/>
        </w:numPr>
        <w:tabs>
          <w:tab w:val="left" w:pos="630"/>
        </w:tabs>
        <w:spacing w:after="0" w:line="240" w:lineRule="auto"/>
        <w:ind w:left="360"/>
        <w:rPr>
          <w:rFonts w:ascii="Arial" w:hAnsi="Arial" w:cs="Arial"/>
        </w:rPr>
      </w:pPr>
      <w:r w:rsidRPr="00341BE8">
        <w:rPr>
          <w:rFonts w:ascii="Arial" w:hAnsi="Arial" w:cs="Arial"/>
        </w:rPr>
        <w:t>In addition, the state saw a dramatic increase in the number of high scores on Advanced Placement (AP) tests.</w:t>
      </w:r>
    </w:p>
    <w:p w:rsidR="00341BE8" w:rsidRPr="00341BE8" w:rsidRDefault="00341BE8" w:rsidP="004578C3">
      <w:pPr>
        <w:pStyle w:val="ListParagraph"/>
        <w:tabs>
          <w:tab w:val="left" w:pos="630"/>
        </w:tabs>
        <w:ind w:left="360" w:hanging="360"/>
        <w:rPr>
          <w:rFonts w:ascii="Arial" w:hAnsi="Arial" w:cs="Arial"/>
        </w:rPr>
      </w:pPr>
    </w:p>
    <w:p w:rsidR="00F33AB9" w:rsidRPr="00F528BC" w:rsidRDefault="00AB7680" w:rsidP="004578C3">
      <w:pPr>
        <w:pStyle w:val="ListParagraph"/>
        <w:numPr>
          <w:ilvl w:val="0"/>
          <w:numId w:val="2"/>
        </w:numPr>
        <w:tabs>
          <w:tab w:val="left" w:pos="630"/>
        </w:tabs>
        <w:spacing w:after="0" w:line="240" w:lineRule="auto"/>
        <w:ind w:left="360"/>
        <w:rPr>
          <w:rFonts w:ascii="Arial" w:hAnsi="Arial" w:cs="Arial"/>
        </w:rPr>
      </w:pPr>
      <w:r w:rsidRPr="00341BE8">
        <w:rPr>
          <w:rFonts w:ascii="Arial" w:hAnsi="Arial" w:cs="Arial"/>
        </w:rPr>
        <w:t xml:space="preserve">One of the state’s biggest challenges in K-12 achievement is closing the achievement gap. Specifically, the 2016 </w:t>
      </w:r>
      <w:r w:rsidRPr="00341BE8">
        <w:rPr>
          <w:rFonts w:ascii="Arial" w:hAnsi="Arial" w:cs="Arial"/>
          <w:i/>
        </w:rPr>
        <w:t xml:space="preserve">Quality Counts </w:t>
      </w:r>
      <w:r w:rsidRPr="00341BE8">
        <w:rPr>
          <w:rFonts w:ascii="Arial" w:hAnsi="Arial" w:cs="Arial"/>
        </w:rPr>
        <w:t>report looked at the gap in performance between students who are eligible for free/reduced-price (F/R) meals – in Kentucky 60 percent of the student population – and those who are not. While a wide achievement gap between low-income students and their wealthier counterparts exists in every state in the nation,</w:t>
      </w:r>
      <w:r w:rsidRPr="007C1F5C">
        <w:rPr>
          <w:rFonts w:ascii="Arial" w:hAnsi="Arial" w:cs="Arial"/>
          <w:b/>
        </w:rPr>
        <w:t xml:space="preserve"> the </w:t>
      </w:r>
      <w:r w:rsidR="002B0E72">
        <w:rPr>
          <w:rFonts w:ascii="Arial" w:hAnsi="Arial" w:cs="Arial"/>
          <w:b/>
        </w:rPr>
        <w:t xml:space="preserve">poverty gap in proficiency rates </w:t>
      </w:r>
      <w:r w:rsidRPr="007C1F5C">
        <w:rPr>
          <w:rFonts w:ascii="Arial" w:hAnsi="Arial" w:cs="Arial"/>
          <w:b/>
        </w:rPr>
        <w:t>is lower in Kentucky than in the majority of states.</w:t>
      </w:r>
    </w:p>
    <w:p w:rsidR="00F33AB9" w:rsidRPr="00341BE8" w:rsidRDefault="00F33AB9" w:rsidP="00F33AB9">
      <w:pPr>
        <w:pStyle w:val="ListParagraph"/>
        <w:spacing w:after="0" w:line="240" w:lineRule="auto"/>
        <w:ind w:left="270"/>
        <w:rPr>
          <w:rFonts w:ascii="Arial" w:hAnsi="Arial" w:cs="Arial"/>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15" w:type="dxa"/>
        </w:tblCellMar>
        <w:tblLook w:val="04A0" w:firstRow="1" w:lastRow="0" w:firstColumn="1" w:lastColumn="0" w:noHBand="0" w:noVBand="1"/>
      </w:tblPr>
      <w:tblGrid>
        <w:gridCol w:w="2245"/>
        <w:gridCol w:w="2520"/>
        <w:gridCol w:w="1980"/>
        <w:gridCol w:w="1620"/>
        <w:gridCol w:w="1710"/>
      </w:tblGrid>
      <w:tr w:rsidR="00AB7680" w:rsidRPr="00B77EC2" w:rsidTr="004578C3">
        <w:trPr>
          <w:trHeight w:val="432"/>
          <w:jc w:val="center"/>
        </w:trPr>
        <w:tc>
          <w:tcPr>
            <w:tcW w:w="10075" w:type="dxa"/>
            <w:gridSpan w:val="5"/>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rPr>
              <w:t>2015 COMBINED PROFICIENCY RATES REGIONAL COMPARISON</w:t>
            </w:r>
          </w:p>
        </w:tc>
      </w:tr>
      <w:tr w:rsidR="00AB7680" w:rsidRPr="00B77EC2" w:rsidTr="004578C3">
        <w:trPr>
          <w:jc w:val="center"/>
        </w:trPr>
        <w:tc>
          <w:tcPr>
            <w:tcW w:w="2245" w:type="dxa"/>
            <w:shd w:val="clear" w:color="auto" w:fill="auto"/>
          </w:tcPr>
          <w:p w:rsidR="00AB7680" w:rsidRPr="00AE4C15" w:rsidRDefault="00AB7680" w:rsidP="00AE4C15">
            <w:pPr>
              <w:spacing w:after="0" w:line="240" w:lineRule="auto"/>
              <w:rPr>
                <w:rFonts w:ascii="Arial" w:hAnsi="Arial" w:cs="Arial"/>
              </w:rPr>
            </w:pP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F/R meal non-eligible</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F/R meal eligible</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Poverty Gap</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Ranking</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West Virginia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40.2</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22.2</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18</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b/>
              </w:rPr>
            </w:pPr>
            <w:r w:rsidRPr="00AE4C15">
              <w:rPr>
                <w:rFonts w:ascii="Arial" w:hAnsi="Arial" w:cs="Arial"/>
                <w:b/>
                <w:bCs/>
                <w:color w:val="000000"/>
              </w:rPr>
              <w:t>Kentucky</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51.6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25.3</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26.3</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18</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Indiana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54.8</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27.9</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26.9</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Missouri</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49.1</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22.1</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27</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23</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Tennessee</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49.6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21.6</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28.1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29</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U.S.</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20.9</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30.1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n/a</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Illinois</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20.6</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39</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Ohio</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21.8</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32.2</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Virginia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54.8</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20.7</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34.1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46</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District of Columbia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56.6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13.3</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43.4</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w:t>
            </w:r>
          </w:p>
        </w:tc>
      </w:tr>
    </w:tbl>
    <w:p w:rsidR="00AB7680" w:rsidRPr="00B77EC2" w:rsidRDefault="00AB7680" w:rsidP="00AE4C15">
      <w:pPr>
        <w:spacing w:after="0" w:line="240" w:lineRule="auto"/>
        <w:rPr>
          <w:rFonts w:ascii="Arial" w:hAnsi="Arial" w:cs="Arial"/>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This year the state put in place a strategy to reduce the number of novice learners and raise achievement for all students, especially in math. </w:t>
      </w:r>
    </w:p>
    <w:p w:rsidR="002B0E72" w:rsidRDefault="002B0E72" w:rsidP="003D2AE9">
      <w:pPr>
        <w:pStyle w:val="Default"/>
        <w:ind w:left="360" w:hanging="360"/>
        <w:rPr>
          <w:rFonts w:ascii="Arial" w:hAnsi="Arial" w:cs="Arial"/>
          <w:sz w:val="22"/>
          <w:szCs w:val="22"/>
        </w:rPr>
      </w:pPr>
    </w:p>
    <w:p w:rsidR="002B0E72" w:rsidRDefault="002B0E72" w:rsidP="003D2AE9">
      <w:pPr>
        <w:pStyle w:val="Default"/>
        <w:ind w:left="360" w:hanging="360"/>
        <w:rPr>
          <w:rFonts w:ascii="Arial" w:hAnsi="Arial" w:cs="Arial"/>
          <w:sz w:val="22"/>
          <w:szCs w:val="22"/>
        </w:rPr>
      </w:pPr>
    </w:p>
    <w:p w:rsidR="00F528BC" w:rsidRDefault="00F528BC" w:rsidP="003D2AE9">
      <w:pPr>
        <w:pStyle w:val="Default"/>
        <w:ind w:left="360" w:hanging="360"/>
        <w:rPr>
          <w:rFonts w:ascii="Arial" w:hAnsi="Arial" w:cs="Arial"/>
          <w:sz w:val="22"/>
          <w:szCs w:val="22"/>
        </w:rPr>
      </w:pPr>
    </w:p>
    <w:p w:rsidR="00F528BC" w:rsidRDefault="00F528BC" w:rsidP="003D2AE9">
      <w:pPr>
        <w:pStyle w:val="Default"/>
        <w:ind w:left="360" w:hanging="360"/>
        <w:rPr>
          <w:rFonts w:ascii="Arial" w:hAnsi="Arial" w:cs="Arial"/>
          <w:sz w:val="22"/>
          <w:szCs w:val="22"/>
        </w:rPr>
      </w:pPr>
    </w:p>
    <w:p w:rsidR="002B0E72" w:rsidRPr="00B77EC2" w:rsidRDefault="002B0E72" w:rsidP="003D2AE9">
      <w:pPr>
        <w:pStyle w:val="Default"/>
        <w:ind w:left="360" w:hanging="360"/>
        <w:rPr>
          <w:rFonts w:ascii="Arial" w:hAnsi="Arial" w:cs="Arial"/>
          <w:sz w:val="22"/>
          <w:szCs w:val="22"/>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lastRenderedPageBreak/>
        <w:t>The School Finance category has two subcategories – equity and spending – and presents mixed news for the state. With the exception of one indicator, Kentucky scores in the top 15 of states in equity of school finance with the highest ranking in the relationship between district funding and local property wealth. The state ranks 45th in the country on the actual spending as a percent of the amount needed to bring all students to the median per pupil expenditure level in the state.</w:t>
      </w:r>
    </w:p>
    <w:p w:rsidR="00F33AB9" w:rsidRPr="00B77EC2" w:rsidRDefault="00F33AB9" w:rsidP="003D2AE9">
      <w:pPr>
        <w:pStyle w:val="Default"/>
        <w:ind w:left="360" w:hanging="360"/>
        <w:rPr>
          <w:rFonts w:ascii="Arial" w:hAnsi="Arial" w:cs="Arial"/>
          <w:sz w:val="22"/>
          <w:szCs w:val="22"/>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t>In spending, the state ranks below the middle on most indicators. Kentucky’s adjusted per-pupil expenditure (PPE) is $1,260 less than the national average. However, of greater concern is the fact that only 15.8 percent of students go to school in a district with the PPE at or above the national average. Nationally, the number is 41.5 percent.</w:t>
      </w:r>
    </w:p>
    <w:p w:rsidR="00F33AB9" w:rsidRPr="00B77EC2" w:rsidRDefault="00F33AB9" w:rsidP="003D2AE9">
      <w:pPr>
        <w:pStyle w:val="Default"/>
        <w:ind w:left="360" w:hanging="360"/>
        <w:rPr>
          <w:rFonts w:ascii="Arial" w:hAnsi="Arial" w:cs="Arial"/>
          <w:sz w:val="22"/>
          <w:szCs w:val="22"/>
        </w:rPr>
      </w:pPr>
    </w:p>
    <w:p w:rsidR="00B77EC2" w:rsidRDefault="00B77EC2"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The Chance for Success index captures the importance of education in a person’s lifetime from cradle to career. Its 13 indicators span a variety of factors including preparation in early childhood, the performance of public schools, and educational and economic outcomes in adulthood. Kentucky ranked lowest, at 35th in this area, primarily due to </w:t>
      </w:r>
      <w:r w:rsidR="005B0851">
        <w:rPr>
          <w:rFonts w:ascii="Arial" w:hAnsi="Arial" w:cs="Arial"/>
          <w:sz w:val="22"/>
          <w:szCs w:val="22"/>
        </w:rPr>
        <w:t xml:space="preserve">high </w:t>
      </w:r>
      <w:r w:rsidRPr="00B77EC2">
        <w:rPr>
          <w:rFonts w:ascii="Arial" w:hAnsi="Arial" w:cs="Arial"/>
          <w:sz w:val="22"/>
          <w:szCs w:val="22"/>
        </w:rPr>
        <w:t xml:space="preserve">poverty, </w:t>
      </w:r>
      <w:r w:rsidR="005B0851">
        <w:rPr>
          <w:rFonts w:ascii="Arial" w:hAnsi="Arial" w:cs="Arial"/>
          <w:sz w:val="22"/>
          <w:szCs w:val="22"/>
        </w:rPr>
        <w:t xml:space="preserve">low parental </w:t>
      </w:r>
      <w:r w:rsidRPr="00B77EC2">
        <w:rPr>
          <w:rFonts w:ascii="Arial" w:hAnsi="Arial" w:cs="Arial"/>
          <w:sz w:val="22"/>
          <w:szCs w:val="22"/>
        </w:rPr>
        <w:t xml:space="preserve">employment and the relatively low numbers of adults in the state with more than a high school education. </w:t>
      </w:r>
    </w:p>
    <w:p w:rsidR="00F33AB9" w:rsidRPr="00B77EC2" w:rsidRDefault="00F33AB9" w:rsidP="003D2AE9">
      <w:pPr>
        <w:pStyle w:val="Default"/>
        <w:ind w:left="360" w:hanging="360"/>
        <w:rPr>
          <w:rFonts w:ascii="Arial" w:hAnsi="Arial" w:cs="Arial"/>
          <w:sz w:val="22"/>
          <w:szCs w:val="22"/>
        </w:rPr>
      </w:pPr>
    </w:p>
    <w:p w:rsidR="00B77EC2" w:rsidRPr="00B77EC2" w:rsidRDefault="00B77EC2" w:rsidP="003D2AE9">
      <w:pPr>
        <w:pStyle w:val="Default"/>
        <w:ind w:left="360" w:hanging="360"/>
        <w:rPr>
          <w:rFonts w:ascii="Arial" w:hAnsi="Arial" w:cs="Arial"/>
          <w:sz w:val="22"/>
          <w:szCs w:val="22"/>
        </w:rPr>
      </w:pPr>
      <w:r w:rsidRPr="00B77EC2">
        <w:rPr>
          <w:rFonts w:ascii="Arial" w:hAnsi="Arial" w:cs="Arial"/>
          <w:sz w:val="22"/>
          <w:szCs w:val="22"/>
        </w:rPr>
        <w:t xml:space="preserve">The full 2016 </w:t>
      </w:r>
      <w:r w:rsidRPr="00B77EC2">
        <w:rPr>
          <w:rFonts w:ascii="Arial" w:hAnsi="Arial" w:cs="Arial"/>
          <w:i/>
          <w:sz w:val="22"/>
          <w:szCs w:val="22"/>
        </w:rPr>
        <w:t>Quality Counts</w:t>
      </w:r>
      <w:r w:rsidRPr="00B77EC2">
        <w:rPr>
          <w:rFonts w:ascii="Arial" w:hAnsi="Arial" w:cs="Arial"/>
          <w:sz w:val="22"/>
          <w:szCs w:val="22"/>
        </w:rPr>
        <w:t xml:space="preserve"> report is available on the Education Week </w:t>
      </w:r>
      <w:hyperlink r:id="rId22" w:history="1">
        <w:r w:rsidRPr="00B77EC2">
          <w:rPr>
            <w:rStyle w:val="Hyperlink"/>
            <w:rFonts w:ascii="Arial" w:hAnsi="Arial" w:cs="Arial"/>
            <w:sz w:val="22"/>
            <w:szCs w:val="22"/>
          </w:rPr>
          <w:t>website</w:t>
        </w:r>
      </w:hyperlink>
      <w:r w:rsidRPr="00B77EC2">
        <w:rPr>
          <w:rFonts w:ascii="Arial" w:hAnsi="Arial" w:cs="Arial"/>
          <w:sz w:val="22"/>
          <w:szCs w:val="22"/>
        </w:rPr>
        <w:t xml:space="preserve">. </w:t>
      </w:r>
    </w:p>
    <w:p w:rsidR="00B77EC2" w:rsidRPr="00B77EC2" w:rsidRDefault="00B77EC2" w:rsidP="003D2AE9">
      <w:pPr>
        <w:pStyle w:val="Default"/>
        <w:ind w:left="360" w:hanging="360"/>
        <w:rPr>
          <w:rFonts w:ascii="Arial" w:hAnsi="Arial" w:cs="Arial"/>
          <w:sz w:val="22"/>
          <w:szCs w:val="22"/>
        </w:rPr>
      </w:pPr>
      <w:r w:rsidRPr="00B77EC2">
        <w:rPr>
          <w:rFonts w:ascii="Arial" w:hAnsi="Arial" w:cs="Arial"/>
          <w:sz w:val="22"/>
          <w:szCs w:val="22"/>
        </w:rPr>
        <w:t xml:space="preserve">The Kentucky-specific report is available at the following link: </w:t>
      </w:r>
      <w:hyperlink r:id="rId23" w:history="1">
        <w:r w:rsidRPr="00B77EC2">
          <w:rPr>
            <w:rStyle w:val="Hyperlink"/>
            <w:rFonts w:ascii="Arial" w:hAnsi="Arial" w:cs="Arial"/>
            <w:sz w:val="22"/>
            <w:szCs w:val="22"/>
          </w:rPr>
          <w:t>http://www.edweek.org/media/ew/qc/2016/shr/16shr.ky.h35.pdf</w:t>
        </w:r>
      </w:hyperlink>
      <w:r w:rsidRPr="00B77EC2">
        <w:rPr>
          <w:rFonts w:ascii="Arial" w:hAnsi="Arial" w:cs="Arial"/>
          <w:sz w:val="22"/>
          <w:szCs w:val="22"/>
        </w:rPr>
        <w:t>.</w:t>
      </w:r>
    </w:p>
    <w:p w:rsidR="00B77EC2" w:rsidRPr="00B77EC2" w:rsidRDefault="00B77EC2" w:rsidP="00B77EC2">
      <w:pPr>
        <w:pStyle w:val="Default"/>
        <w:ind w:left="-450"/>
        <w:rPr>
          <w:rFonts w:ascii="Arial" w:hAnsi="Arial" w:cs="Arial"/>
          <w:sz w:val="22"/>
          <w:szCs w:val="22"/>
        </w:rPr>
      </w:pPr>
    </w:p>
    <w:p w:rsidR="00B77EC2" w:rsidRPr="00B77EC2" w:rsidRDefault="00B77EC2" w:rsidP="00B77EC2">
      <w:pPr>
        <w:pStyle w:val="Default"/>
        <w:ind w:left="-450" w:firstLine="450"/>
        <w:rPr>
          <w:rFonts w:ascii="Arial" w:hAnsi="Arial" w:cs="Arial"/>
          <w:sz w:val="22"/>
          <w:szCs w:val="22"/>
        </w:rPr>
      </w:pPr>
    </w:p>
    <w:p w:rsidR="00AB7680" w:rsidRPr="0012536A" w:rsidRDefault="001D5CCF" w:rsidP="00B77EC2">
      <w:pPr>
        <w:spacing w:after="0" w:line="240" w:lineRule="auto"/>
        <w:ind w:left="-540"/>
        <w:rPr>
          <w:rFonts w:ascii="Arial" w:hAnsi="Arial" w:cs="Arial"/>
          <w:b/>
          <w:i/>
        </w:rPr>
      </w:pPr>
      <w:r>
        <w:rPr>
          <w:rFonts w:ascii="Arial" w:hAnsi="Arial" w:cs="Arial"/>
          <w:b/>
          <w:i/>
        </w:rPr>
        <w:t xml:space="preserve">Other Kentucky K-12 </w:t>
      </w:r>
      <w:r w:rsidR="008B6517">
        <w:rPr>
          <w:rFonts w:ascii="Arial" w:hAnsi="Arial" w:cs="Arial"/>
          <w:b/>
          <w:i/>
        </w:rPr>
        <w:t>education</w:t>
      </w:r>
      <w:r w:rsidR="0035304F">
        <w:rPr>
          <w:rFonts w:ascii="Arial" w:hAnsi="Arial" w:cs="Arial"/>
          <w:b/>
          <w:i/>
        </w:rPr>
        <w:t xml:space="preserve"> facts</w:t>
      </w:r>
      <w:r w:rsidR="008B6517">
        <w:rPr>
          <w:rFonts w:ascii="Arial" w:hAnsi="Arial" w:cs="Arial"/>
          <w:b/>
          <w:i/>
        </w:rPr>
        <w:t>:</w:t>
      </w:r>
    </w:p>
    <w:p w:rsidR="0059672F" w:rsidRPr="00B77EC2" w:rsidRDefault="0059672F" w:rsidP="00B77EC2">
      <w:pPr>
        <w:tabs>
          <w:tab w:val="left" w:pos="9059"/>
        </w:tabs>
        <w:spacing w:after="0" w:line="240" w:lineRule="auto"/>
        <w:ind w:left="-540"/>
        <w:rPr>
          <w:rFonts w:ascii="Arial" w:hAnsi="Arial" w:cs="Arial"/>
          <w:b/>
          <w:i/>
        </w:rPr>
      </w:pPr>
    </w:p>
    <w:p w:rsidR="001B3DA0" w:rsidRPr="0012536A" w:rsidRDefault="00D65ECF" w:rsidP="00B77EC2">
      <w:pPr>
        <w:spacing w:after="0" w:line="240" w:lineRule="auto"/>
        <w:ind w:left="-547"/>
        <w:rPr>
          <w:rFonts w:ascii="Arial" w:hAnsi="Arial" w:cs="Arial"/>
          <w:b/>
        </w:rPr>
      </w:pPr>
      <w:r w:rsidRPr="0012536A">
        <w:rPr>
          <w:rFonts w:ascii="Arial" w:hAnsi="Arial" w:cs="Arial"/>
          <w:b/>
        </w:rPr>
        <w:t>GRADUATION RATE</w:t>
      </w:r>
    </w:p>
    <w:p w:rsidR="00027192" w:rsidRPr="00F17F75" w:rsidRDefault="00F50C4C" w:rsidP="00B77EC2">
      <w:pPr>
        <w:spacing w:after="0" w:line="240" w:lineRule="auto"/>
        <w:ind w:left="-547"/>
        <w:rPr>
          <w:rFonts w:ascii="Arial" w:hAnsi="Arial" w:cs="Arial"/>
          <w:b/>
        </w:rPr>
      </w:pPr>
      <w:r w:rsidRPr="00F17F75">
        <w:rPr>
          <w:rFonts w:ascii="Arial" w:hAnsi="Arial" w:cs="Arial"/>
        </w:rPr>
        <w:t xml:space="preserve">According to the </w:t>
      </w:r>
      <w:hyperlink r:id="rId24" w:history="1">
        <w:r w:rsidRPr="00A260FF">
          <w:rPr>
            <w:rStyle w:val="Hyperlink"/>
            <w:rFonts w:ascii="Arial" w:hAnsi="Arial" w:cs="Arial"/>
          </w:rPr>
          <w:t>National Center for Education Statistics</w:t>
        </w:r>
      </w:hyperlink>
      <w:r w:rsidRPr="00F17F75">
        <w:rPr>
          <w:rFonts w:ascii="Arial" w:hAnsi="Arial" w:cs="Arial"/>
        </w:rPr>
        <w:t xml:space="preserve">, the state’s 2013-14 </w:t>
      </w:r>
      <w:r w:rsidRPr="0045430B">
        <w:rPr>
          <w:rFonts w:ascii="Arial" w:hAnsi="Arial" w:cs="Arial"/>
          <w:b/>
        </w:rPr>
        <w:t>graduation rate of 87.5 percent ranks Kentucky ninth overall and far exceeds the national graduation rate</w:t>
      </w:r>
      <w:r w:rsidRPr="00F17F75">
        <w:rPr>
          <w:rFonts w:ascii="Arial" w:hAnsi="Arial" w:cs="Arial"/>
        </w:rPr>
        <w:t xml:space="preserve"> of 82.3 percent</w:t>
      </w:r>
      <w:r w:rsidR="009348A7" w:rsidRPr="00F17F75">
        <w:rPr>
          <w:rFonts w:ascii="Arial" w:hAnsi="Arial" w:cs="Arial"/>
        </w:rPr>
        <w:t>.</w:t>
      </w:r>
      <w:r w:rsidR="001B3DA0" w:rsidRPr="00F17F75">
        <w:rPr>
          <w:rFonts w:ascii="Arial" w:hAnsi="Arial" w:cs="Arial"/>
        </w:rPr>
        <w:t xml:space="preserve"> </w:t>
      </w:r>
      <w:r w:rsidR="009F7B70">
        <w:rPr>
          <w:rFonts w:ascii="Arial" w:hAnsi="Arial" w:cs="Arial"/>
        </w:rPr>
        <w:t>The state’s grad rate increased in the 2014-15 school year to 88 percent.</w:t>
      </w:r>
      <w:r w:rsidR="001779AC">
        <w:rPr>
          <w:rFonts w:ascii="Arial" w:hAnsi="Arial" w:cs="Arial"/>
        </w:rPr>
        <w:t xml:space="preserve"> A national comparison is not yet available.</w:t>
      </w:r>
    </w:p>
    <w:p w:rsidR="0042302B" w:rsidRDefault="0042302B" w:rsidP="00FD0A73">
      <w:pPr>
        <w:spacing w:after="0" w:line="240" w:lineRule="auto"/>
        <w:rPr>
          <w:rFonts w:ascii="Arial" w:hAnsi="Arial" w:cs="Arial"/>
          <w:b/>
        </w:rPr>
      </w:pPr>
    </w:p>
    <w:p w:rsidR="0042302B" w:rsidRPr="00FF7A60" w:rsidRDefault="0042302B" w:rsidP="0042302B">
      <w:pPr>
        <w:spacing w:after="0" w:line="240" w:lineRule="auto"/>
        <w:ind w:left="-547"/>
        <w:rPr>
          <w:rStyle w:val="Strong"/>
          <w:rFonts w:ascii="Arial" w:hAnsi="Arial" w:cs="Arial"/>
          <w:bCs w:val="0"/>
        </w:rPr>
      </w:pPr>
      <w:r w:rsidRPr="00B77EC2">
        <w:rPr>
          <w:rFonts w:ascii="Arial" w:hAnsi="Arial" w:cs="Arial"/>
          <w:color w:val="000000"/>
        </w:rPr>
        <w:t xml:space="preserve">The </w:t>
      </w:r>
      <w:hyperlink r:id="rId25" w:history="1">
        <w:r w:rsidRPr="005F598C">
          <w:rPr>
            <w:rStyle w:val="Hyperlink"/>
            <w:rFonts w:ascii="Arial" w:hAnsi="Arial" w:cs="Arial"/>
          </w:rPr>
          <w:t>2015 Building a Grad Nation</w:t>
        </w:r>
      </w:hyperlink>
      <w:r w:rsidRPr="00B77EC2">
        <w:rPr>
          <w:rFonts w:ascii="Arial" w:hAnsi="Arial" w:cs="Arial"/>
          <w:color w:val="000000"/>
        </w:rPr>
        <w:t xml:space="preserve"> </w:t>
      </w:r>
      <w:r w:rsidRPr="00B77EC2">
        <w:rPr>
          <w:rFonts w:ascii="Arial" w:hAnsi="Arial" w:cs="Arial"/>
        </w:rPr>
        <w:t xml:space="preserve">report released annually by the Alliance for Excellent Education, America’s Promise Alliance, Civic Enterprises and the Everyone Graduates Center at Johns Hopkins University </w:t>
      </w:r>
      <w:r w:rsidRPr="00B77EC2">
        <w:rPr>
          <w:rFonts w:ascii="Arial" w:hAnsi="Arial" w:cs="Arial"/>
          <w:color w:val="000000"/>
        </w:rPr>
        <w:t xml:space="preserve">called </w:t>
      </w:r>
      <w:r w:rsidRPr="00B77EC2">
        <w:rPr>
          <w:rFonts w:ascii="Arial" w:hAnsi="Arial" w:cs="Arial"/>
          <w:b/>
          <w:color w:val="000000"/>
        </w:rPr>
        <w:t xml:space="preserve">Kentucky “a </w:t>
      </w:r>
      <w:r w:rsidRPr="00B77EC2">
        <w:rPr>
          <w:rFonts w:ascii="Arial" w:hAnsi="Arial" w:cs="Arial"/>
          <w:b/>
          <w:color w:val="000000"/>
          <w:shd w:val="clear" w:color="auto" w:fill="FFFFFF"/>
        </w:rPr>
        <w:t>beacon to all other states.”</w:t>
      </w:r>
      <w:r w:rsidRPr="00B77EC2">
        <w:rPr>
          <w:rFonts w:ascii="Arial" w:hAnsi="Arial" w:cs="Arial"/>
          <w:color w:val="000000"/>
          <w:shd w:val="clear" w:color="auto" w:fill="FFFFFF"/>
        </w:rPr>
        <w:t xml:space="preserve"> </w:t>
      </w:r>
      <w:r w:rsidRPr="00B77EC2">
        <w:rPr>
          <w:rFonts w:ascii="Arial" w:hAnsi="Arial" w:cs="Arial"/>
        </w:rPr>
        <w:t xml:space="preserve">Even though more than half of </w:t>
      </w:r>
      <w:r>
        <w:rPr>
          <w:rFonts w:ascii="Arial" w:hAnsi="Arial" w:cs="Arial"/>
        </w:rPr>
        <w:t>the state’s</w:t>
      </w:r>
      <w:r w:rsidRPr="00B77EC2">
        <w:rPr>
          <w:rFonts w:ascii="Arial" w:hAnsi="Arial" w:cs="Arial"/>
        </w:rPr>
        <w:t xml:space="preserve"> students are considered low-income, </w:t>
      </w:r>
      <w:r w:rsidRPr="0078494B">
        <w:rPr>
          <w:rFonts w:ascii="Arial" w:hAnsi="Arial" w:cs="Arial"/>
          <w:b/>
          <w:shd w:val="clear" w:color="auto" w:fill="FFFFFF"/>
        </w:rPr>
        <w:t xml:space="preserve">Kentucky’s graduation rate for low-income students </w:t>
      </w:r>
      <w:r w:rsidRPr="0078494B">
        <w:rPr>
          <w:rFonts w:ascii="Arial" w:hAnsi="Arial" w:cs="Arial"/>
          <w:shd w:val="clear" w:color="auto" w:fill="FFFFFF"/>
        </w:rPr>
        <w:t xml:space="preserve">(85.4 percent) </w:t>
      </w:r>
      <w:r w:rsidRPr="0078494B">
        <w:rPr>
          <w:rFonts w:ascii="Arial" w:hAnsi="Arial" w:cs="Arial"/>
          <w:b/>
          <w:shd w:val="clear" w:color="auto" w:fill="FFFFFF"/>
        </w:rPr>
        <w:t>is nearly identical to its graduation rate for middle/high-income students</w:t>
      </w:r>
      <w:r w:rsidRPr="00B77EC2">
        <w:rPr>
          <w:rFonts w:ascii="Arial" w:hAnsi="Arial" w:cs="Arial"/>
          <w:shd w:val="clear" w:color="auto" w:fill="FFFFFF"/>
        </w:rPr>
        <w:t xml:space="preserve"> </w:t>
      </w:r>
      <w:r>
        <w:rPr>
          <w:rFonts w:ascii="Arial" w:hAnsi="Arial" w:cs="Arial"/>
          <w:shd w:val="clear" w:color="auto" w:fill="FFFFFF"/>
        </w:rPr>
        <w:t xml:space="preserve">(86.8 percent) </w:t>
      </w:r>
      <w:r w:rsidRPr="00B77EC2">
        <w:rPr>
          <w:rFonts w:ascii="Arial" w:hAnsi="Arial" w:cs="Arial"/>
          <w:shd w:val="clear" w:color="auto" w:fill="FFFFFF"/>
        </w:rPr>
        <w:t>and well above the national average for all students.</w:t>
      </w:r>
      <w:r w:rsidRPr="00B77EC2">
        <w:rPr>
          <w:rFonts w:ascii="Arial" w:hAnsi="Arial" w:cs="Arial"/>
        </w:rPr>
        <w:t xml:space="preserve"> According to the report, </w:t>
      </w:r>
      <w:r w:rsidRPr="00FF7A60">
        <w:rPr>
          <w:rFonts w:ascii="Arial" w:hAnsi="Arial" w:cs="Arial"/>
          <w:b/>
        </w:rPr>
        <w:t xml:space="preserve">nationwide, </w:t>
      </w:r>
      <w:r w:rsidRPr="00B77EC2">
        <w:rPr>
          <w:rStyle w:val="Strong"/>
          <w:rFonts w:ascii="Arial" w:hAnsi="Arial" w:cs="Arial"/>
          <w:shd w:val="clear" w:color="auto" w:fill="FFFFFF"/>
        </w:rPr>
        <w:t>low-income students are graduating at a rate 15 percentage points behind their more affluent peers.</w:t>
      </w:r>
    </w:p>
    <w:p w:rsidR="0042302B" w:rsidRDefault="0042302B" w:rsidP="00B77EC2">
      <w:pPr>
        <w:spacing w:after="0" w:line="240" w:lineRule="auto"/>
        <w:ind w:left="-547"/>
        <w:rPr>
          <w:rFonts w:ascii="Arial" w:hAnsi="Arial" w:cs="Arial"/>
          <w:color w:val="000000"/>
        </w:rPr>
      </w:pPr>
    </w:p>
    <w:p w:rsidR="004C09DE" w:rsidRPr="00B77EC2" w:rsidRDefault="004C09DE" w:rsidP="00B77EC2">
      <w:pPr>
        <w:tabs>
          <w:tab w:val="left" w:pos="9059"/>
        </w:tabs>
        <w:spacing w:after="0" w:line="240" w:lineRule="auto"/>
        <w:ind w:left="-540"/>
        <w:rPr>
          <w:rFonts w:ascii="Arial" w:hAnsi="Arial" w:cs="Arial"/>
          <w:b/>
          <w:i/>
        </w:rPr>
      </w:pPr>
    </w:p>
    <w:p w:rsidR="00DE5B20" w:rsidRDefault="008B6517" w:rsidP="00DE5B20">
      <w:pPr>
        <w:tabs>
          <w:tab w:val="left" w:pos="9059"/>
        </w:tabs>
        <w:spacing w:after="0" w:line="240" w:lineRule="auto"/>
        <w:ind w:left="-540"/>
        <w:rPr>
          <w:rFonts w:ascii="Arial" w:hAnsi="Arial" w:cs="Arial"/>
          <w:b/>
        </w:rPr>
      </w:pPr>
      <w:r>
        <w:rPr>
          <w:rFonts w:ascii="Arial" w:hAnsi="Arial" w:cs="Arial"/>
          <w:b/>
        </w:rPr>
        <w:t>STANDARDS</w:t>
      </w:r>
    </w:p>
    <w:p w:rsidR="00E73EA9" w:rsidRPr="000308E1" w:rsidRDefault="00E73EA9" w:rsidP="00DE5B20">
      <w:pPr>
        <w:tabs>
          <w:tab w:val="left" w:pos="9059"/>
        </w:tabs>
        <w:spacing w:after="0" w:line="240" w:lineRule="auto"/>
        <w:ind w:left="-540"/>
        <w:rPr>
          <w:rFonts w:ascii="Arial" w:hAnsi="Arial" w:cs="Arial"/>
        </w:rPr>
      </w:pPr>
      <w:r w:rsidRPr="000308E1">
        <w:rPr>
          <w:rFonts w:ascii="Arial" w:hAnsi="Arial" w:cs="Arial"/>
        </w:rPr>
        <w:t>In 2013, m</w:t>
      </w:r>
      <w:r w:rsidR="00041E00" w:rsidRPr="000308E1">
        <w:rPr>
          <w:rFonts w:ascii="Arial" w:hAnsi="Arial" w:cs="Arial"/>
        </w:rPr>
        <w:t xml:space="preserve">ore than 6,700 Kentucky teachers responded to </w:t>
      </w:r>
      <w:r w:rsidRPr="000308E1">
        <w:rPr>
          <w:rFonts w:ascii="Arial" w:hAnsi="Arial" w:cs="Arial"/>
        </w:rPr>
        <w:t>an</w:t>
      </w:r>
      <w:r w:rsidR="00041E00" w:rsidRPr="000308E1">
        <w:rPr>
          <w:rFonts w:ascii="Arial" w:hAnsi="Arial" w:cs="Arial"/>
        </w:rPr>
        <w:t xml:space="preserve"> </w:t>
      </w:r>
      <w:r w:rsidR="00154277" w:rsidRPr="000308E1">
        <w:rPr>
          <w:rFonts w:ascii="Arial" w:hAnsi="Arial" w:cs="Arial"/>
        </w:rPr>
        <w:t>an</w:t>
      </w:r>
      <w:r w:rsidR="00667C66">
        <w:rPr>
          <w:rFonts w:ascii="Arial" w:hAnsi="Arial" w:cs="Arial"/>
        </w:rPr>
        <w:t>on</w:t>
      </w:r>
      <w:r w:rsidR="00154277" w:rsidRPr="000308E1">
        <w:rPr>
          <w:rFonts w:ascii="Arial" w:hAnsi="Arial" w:cs="Arial"/>
        </w:rPr>
        <w:t>ymous</w:t>
      </w:r>
      <w:r w:rsidR="00041E00" w:rsidRPr="000308E1">
        <w:rPr>
          <w:rFonts w:ascii="Arial" w:hAnsi="Arial" w:cs="Arial"/>
        </w:rPr>
        <w:t xml:space="preserve"> </w:t>
      </w:r>
      <w:r w:rsidR="00154277" w:rsidRPr="000308E1">
        <w:rPr>
          <w:rFonts w:ascii="Arial" w:hAnsi="Arial" w:cs="Arial"/>
        </w:rPr>
        <w:t xml:space="preserve">online </w:t>
      </w:r>
      <w:r w:rsidR="00041E00" w:rsidRPr="000308E1">
        <w:rPr>
          <w:rFonts w:ascii="Arial" w:hAnsi="Arial" w:cs="Arial"/>
        </w:rPr>
        <w:t>survey</w:t>
      </w:r>
      <w:r w:rsidRPr="000308E1">
        <w:rPr>
          <w:rFonts w:ascii="Arial" w:hAnsi="Arial" w:cs="Arial"/>
        </w:rPr>
        <w:t xml:space="preserve"> about Kentucky’s Academic Standards</w:t>
      </w:r>
      <w:r w:rsidR="000308E1" w:rsidRPr="000308E1">
        <w:rPr>
          <w:rFonts w:ascii="Arial" w:hAnsi="Arial" w:cs="Arial"/>
        </w:rPr>
        <w:t xml:space="preserve"> conducted by the Kentucky Department of Education</w:t>
      </w:r>
      <w:r w:rsidR="00041E00" w:rsidRPr="000308E1">
        <w:rPr>
          <w:rFonts w:ascii="Arial" w:hAnsi="Arial" w:cs="Arial"/>
        </w:rPr>
        <w:t xml:space="preserve">. </w:t>
      </w:r>
    </w:p>
    <w:p w:rsidR="00154277" w:rsidRPr="000308E1" w:rsidRDefault="00041E00" w:rsidP="000308E1">
      <w:pPr>
        <w:pStyle w:val="ListParagraph"/>
        <w:numPr>
          <w:ilvl w:val="0"/>
          <w:numId w:val="11"/>
        </w:numPr>
        <w:tabs>
          <w:tab w:val="left" w:pos="9059"/>
        </w:tabs>
        <w:spacing w:after="0" w:line="240" w:lineRule="auto"/>
        <w:rPr>
          <w:rFonts w:ascii="Arial" w:hAnsi="Arial" w:cs="Arial"/>
        </w:rPr>
      </w:pPr>
      <w:r w:rsidRPr="000308E1">
        <w:rPr>
          <w:rFonts w:ascii="Arial" w:hAnsi="Arial" w:cs="Arial"/>
        </w:rPr>
        <w:t xml:space="preserve">77 percent </w:t>
      </w:r>
      <w:r w:rsidR="00E73EA9" w:rsidRPr="000308E1">
        <w:rPr>
          <w:rFonts w:ascii="Arial" w:hAnsi="Arial" w:cs="Arial"/>
        </w:rPr>
        <w:t>were</w:t>
      </w:r>
      <w:r w:rsidRPr="000308E1">
        <w:rPr>
          <w:rFonts w:ascii="Arial" w:hAnsi="Arial" w:cs="Arial"/>
        </w:rPr>
        <w:t xml:space="preserve"> enthusiastic about teaching the new standards in their classrooms </w:t>
      </w:r>
    </w:p>
    <w:p w:rsidR="00A020A1" w:rsidRPr="000308E1" w:rsidRDefault="00154277" w:rsidP="000308E1">
      <w:pPr>
        <w:pStyle w:val="ListParagraph"/>
        <w:numPr>
          <w:ilvl w:val="0"/>
          <w:numId w:val="11"/>
        </w:numPr>
        <w:tabs>
          <w:tab w:val="left" w:pos="9059"/>
        </w:tabs>
        <w:spacing w:after="0" w:line="240" w:lineRule="auto"/>
        <w:rPr>
          <w:rFonts w:ascii="Arial" w:hAnsi="Arial" w:cs="Arial"/>
        </w:rPr>
      </w:pPr>
      <w:r w:rsidRPr="000308E1">
        <w:rPr>
          <w:rFonts w:ascii="Arial" w:hAnsi="Arial" w:cs="Arial"/>
        </w:rPr>
        <w:t>86 percent felt they we</w:t>
      </w:r>
      <w:r w:rsidR="00041E00" w:rsidRPr="000308E1">
        <w:rPr>
          <w:rFonts w:ascii="Arial" w:hAnsi="Arial" w:cs="Arial"/>
        </w:rPr>
        <w:t>re prepared to teach new English/language arts and mathematics standards</w:t>
      </w:r>
    </w:p>
    <w:p w:rsidR="00A020A1" w:rsidRPr="000308E1" w:rsidRDefault="00A020A1" w:rsidP="000308E1">
      <w:pPr>
        <w:pStyle w:val="ListParagraph"/>
        <w:numPr>
          <w:ilvl w:val="0"/>
          <w:numId w:val="11"/>
        </w:numPr>
        <w:tabs>
          <w:tab w:val="left" w:pos="9059"/>
        </w:tabs>
        <w:spacing w:after="0" w:line="240" w:lineRule="auto"/>
        <w:rPr>
          <w:rFonts w:ascii="Arial" w:hAnsi="Arial" w:cs="Arial"/>
        </w:rPr>
      </w:pPr>
      <w:r w:rsidRPr="000308E1">
        <w:rPr>
          <w:rFonts w:ascii="Arial" w:hAnsi="Arial" w:cs="Arial"/>
        </w:rPr>
        <w:t xml:space="preserve">90 percent agree that the standards are more rigorous than previous standards </w:t>
      </w:r>
    </w:p>
    <w:p w:rsidR="00A020A1" w:rsidRPr="000308E1" w:rsidRDefault="00A020A1" w:rsidP="000308E1">
      <w:pPr>
        <w:pStyle w:val="ListParagraph"/>
        <w:numPr>
          <w:ilvl w:val="0"/>
          <w:numId w:val="11"/>
        </w:numPr>
        <w:tabs>
          <w:tab w:val="left" w:pos="9059"/>
        </w:tabs>
        <w:spacing w:after="0" w:line="240" w:lineRule="auto"/>
        <w:rPr>
          <w:rFonts w:ascii="Arial" w:hAnsi="Arial" w:cs="Arial"/>
        </w:rPr>
      </w:pPr>
      <w:r w:rsidRPr="000308E1">
        <w:rPr>
          <w:rFonts w:ascii="Arial" w:hAnsi="Arial" w:cs="Arial"/>
        </w:rPr>
        <w:t xml:space="preserve">67 percent believe the standards will have a positive impact on college/career-readiness of students; 25 percent don’t’ think </w:t>
      </w:r>
      <w:r w:rsidR="000308E1" w:rsidRPr="000308E1">
        <w:rPr>
          <w:rFonts w:ascii="Arial" w:hAnsi="Arial" w:cs="Arial"/>
        </w:rPr>
        <w:t>there will be much change</w:t>
      </w:r>
      <w:r w:rsidRPr="000308E1">
        <w:rPr>
          <w:rFonts w:ascii="Arial" w:hAnsi="Arial" w:cs="Arial"/>
        </w:rPr>
        <w:t>.</w:t>
      </w:r>
    </w:p>
    <w:p w:rsidR="00A020A1" w:rsidRDefault="00A020A1" w:rsidP="00DE5B20">
      <w:pPr>
        <w:tabs>
          <w:tab w:val="left" w:pos="9059"/>
        </w:tabs>
        <w:spacing w:after="0" w:line="240" w:lineRule="auto"/>
        <w:ind w:left="-540"/>
        <w:rPr>
          <w:rFonts w:ascii="Arial" w:hAnsi="Arial" w:cs="Arial"/>
        </w:rPr>
      </w:pPr>
    </w:p>
    <w:p w:rsidR="00667C66" w:rsidRDefault="00667C66" w:rsidP="00DE5B20">
      <w:pPr>
        <w:tabs>
          <w:tab w:val="left" w:pos="9059"/>
        </w:tabs>
        <w:spacing w:after="0" w:line="240" w:lineRule="auto"/>
        <w:ind w:left="-540"/>
        <w:rPr>
          <w:rFonts w:ascii="Arial" w:hAnsi="Arial" w:cs="Arial"/>
        </w:rPr>
      </w:pPr>
    </w:p>
    <w:p w:rsidR="00667C66" w:rsidRDefault="00667C66" w:rsidP="00DE5B20">
      <w:pPr>
        <w:tabs>
          <w:tab w:val="left" w:pos="9059"/>
        </w:tabs>
        <w:spacing w:after="0" w:line="240" w:lineRule="auto"/>
        <w:ind w:left="-540"/>
        <w:rPr>
          <w:rFonts w:ascii="Arial" w:hAnsi="Arial" w:cs="Arial"/>
        </w:rPr>
      </w:pPr>
    </w:p>
    <w:p w:rsidR="00667C66" w:rsidRPr="000308E1" w:rsidRDefault="00667C66" w:rsidP="00DE5B20">
      <w:pPr>
        <w:tabs>
          <w:tab w:val="left" w:pos="9059"/>
        </w:tabs>
        <w:spacing w:after="0" w:line="240" w:lineRule="auto"/>
        <w:ind w:left="-540"/>
        <w:rPr>
          <w:rFonts w:ascii="Arial" w:hAnsi="Arial" w:cs="Arial"/>
        </w:rPr>
      </w:pPr>
    </w:p>
    <w:p w:rsidR="001D5CCF" w:rsidRDefault="00A020A1" w:rsidP="00DE5B20">
      <w:pPr>
        <w:tabs>
          <w:tab w:val="left" w:pos="9059"/>
        </w:tabs>
        <w:spacing w:after="0" w:line="240" w:lineRule="auto"/>
        <w:ind w:left="-540"/>
        <w:rPr>
          <w:rFonts w:ascii="Arial" w:hAnsi="Arial" w:cs="Arial"/>
          <w:b/>
        </w:rPr>
      </w:pPr>
      <w:r w:rsidRPr="000308E1">
        <w:rPr>
          <w:rFonts w:ascii="Arial" w:hAnsi="Arial" w:cs="Arial"/>
        </w:rPr>
        <w:lastRenderedPageBreak/>
        <w:t>In 2014, as</w:t>
      </w:r>
      <w:r w:rsidR="008309A0">
        <w:rPr>
          <w:rFonts w:ascii="Arial" w:hAnsi="Arial" w:cs="Arial"/>
          <w:b/>
        </w:rPr>
        <w:t xml:space="preserve"> part of its regular standards review process, the </w:t>
      </w:r>
      <w:r w:rsidR="004A6691">
        <w:rPr>
          <w:rFonts w:ascii="Arial" w:hAnsi="Arial" w:cs="Arial"/>
          <w:b/>
        </w:rPr>
        <w:t xml:space="preserve">Kentucky </w:t>
      </w:r>
      <w:r w:rsidR="008309A0">
        <w:rPr>
          <w:rFonts w:ascii="Arial" w:hAnsi="Arial" w:cs="Arial"/>
          <w:b/>
        </w:rPr>
        <w:t>Department of Education created a website for public input on the English/language arts and mathematics standards</w:t>
      </w:r>
      <w:r w:rsidR="004A6691">
        <w:rPr>
          <w:rFonts w:ascii="Arial" w:hAnsi="Arial" w:cs="Arial"/>
          <w:b/>
        </w:rPr>
        <w:t>.</w:t>
      </w:r>
    </w:p>
    <w:p w:rsidR="004A6691" w:rsidRDefault="004A6691" w:rsidP="003D2AE9">
      <w:pPr>
        <w:tabs>
          <w:tab w:val="left" w:pos="9059"/>
        </w:tabs>
        <w:spacing w:after="0" w:line="240" w:lineRule="auto"/>
        <w:ind w:left="360" w:hanging="360"/>
        <w:rPr>
          <w:rFonts w:ascii="Arial" w:hAnsi="Arial" w:cs="Arial"/>
          <w:b/>
        </w:rPr>
      </w:pPr>
    </w:p>
    <w:p w:rsidR="006D2551"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4A6691">
        <w:rPr>
          <w:rFonts w:ascii="Arial" w:hAnsi="Arial" w:cs="Arial"/>
          <w:color w:val="333333"/>
          <w:szCs w:val="20"/>
        </w:rPr>
        <w:t xml:space="preserve">Nearly 4,000 people took part in the </w:t>
      </w:r>
      <w:r w:rsidR="001D5BEB">
        <w:rPr>
          <w:rFonts w:ascii="Arial" w:hAnsi="Arial" w:cs="Arial"/>
          <w:color w:val="333333"/>
          <w:szCs w:val="20"/>
        </w:rPr>
        <w:t>online standards feedback process</w:t>
      </w:r>
      <w:r w:rsidRPr="004A6691">
        <w:rPr>
          <w:rFonts w:ascii="Arial" w:hAnsi="Arial" w:cs="Arial"/>
          <w:color w:val="333333"/>
          <w:szCs w:val="20"/>
        </w:rPr>
        <w:t>, whic</w:t>
      </w:r>
      <w:r w:rsidR="001D5BEB">
        <w:rPr>
          <w:rFonts w:ascii="Arial" w:hAnsi="Arial" w:cs="Arial"/>
          <w:color w:val="333333"/>
          <w:szCs w:val="20"/>
        </w:rPr>
        <w:t>h was widely publicized by the Kentucky D</w:t>
      </w:r>
      <w:r w:rsidRPr="004A6691">
        <w:rPr>
          <w:rFonts w:ascii="Arial" w:hAnsi="Arial" w:cs="Arial"/>
          <w:color w:val="333333"/>
          <w:szCs w:val="20"/>
        </w:rPr>
        <w:t xml:space="preserve">epartment </w:t>
      </w:r>
      <w:r w:rsidR="006F4291">
        <w:rPr>
          <w:rFonts w:ascii="Arial" w:hAnsi="Arial" w:cs="Arial"/>
          <w:color w:val="333333"/>
          <w:szCs w:val="20"/>
        </w:rPr>
        <w:t xml:space="preserve">of Education, </w:t>
      </w:r>
      <w:r w:rsidRPr="004A6691">
        <w:rPr>
          <w:rFonts w:ascii="Arial" w:hAnsi="Arial" w:cs="Arial"/>
          <w:color w:val="333333"/>
          <w:szCs w:val="20"/>
        </w:rPr>
        <w:t>education partners</w:t>
      </w:r>
      <w:r w:rsidR="006F4291">
        <w:rPr>
          <w:rFonts w:ascii="Arial" w:hAnsi="Arial" w:cs="Arial"/>
          <w:color w:val="333333"/>
          <w:szCs w:val="20"/>
        </w:rPr>
        <w:t xml:space="preserve"> and</w:t>
      </w:r>
      <w:r w:rsidRPr="004A6691">
        <w:rPr>
          <w:rFonts w:ascii="Arial" w:hAnsi="Arial" w:cs="Arial"/>
          <w:color w:val="333333"/>
          <w:szCs w:val="20"/>
        </w:rPr>
        <w:t xml:space="preserve"> the media. </w:t>
      </w:r>
    </w:p>
    <w:p w:rsidR="006D2551" w:rsidRDefault="006D2551" w:rsidP="003D2AE9">
      <w:pPr>
        <w:pStyle w:val="ListParagraph"/>
        <w:shd w:val="clear" w:color="auto" w:fill="FFFFFF"/>
        <w:spacing w:line="270" w:lineRule="atLeast"/>
        <w:ind w:left="360" w:hanging="360"/>
        <w:rPr>
          <w:rFonts w:ascii="Arial" w:hAnsi="Arial" w:cs="Arial"/>
          <w:color w:val="333333"/>
          <w:szCs w:val="20"/>
        </w:rPr>
      </w:pPr>
    </w:p>
    <w:p w:rsidR="004A6691"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4A6691">
        <w:rPr>
          <w:rFonts w:ascii="Arial" w:hAnsi="Arial" w:cs="Arial"/>
          <w:color w:val="333333"/>
          <w:szCs w:val="20"/>
        </w:rPr>
        <w:t>Almost 50 percent of those who weighed in on the standards we</w:t>
      </w:r>
      <w:r w:rsidR="006F4291">
        <w:rPr>
          <w:rFonts w:ascii="Arial" w:hAnsi="Arial" w:cs="Arial"/>
          <w:color w:val="333333"/>
          <w:szCs w:val="20"/>
        </w:rPr>
        <w:t>re teachers or retired teachers;</w:t>
      </w:r>
      <w:r w:rsidRPr="004A6691">
        <w:rPr>
          <w:rFonts w:ascii="Arial" w:hAnsi="Arial" w:cs="Arial"/>
          <w:color w:val="333333"/>
          <w:szCs w:val="20"/>
        </w:rPr>
        <w:t xml:space="preserve"> about 20 percent were parents</w:t>
      </w:r>
      <w:r w:rsidR="006F4291">
        <w:rPr>
          <w:rFonts w:ascii="Arial" w:hAnsi="Arial" w:cs="Arial"/>
          <w:color w:val="333333"/>
          <w:szCs w:val="20"/>
        </w:rPr>
        <w:t>;</w:t>
      </w:r>
      <w:r w:rsidRPr="004A6691">
        <w:rPr>
          <w:rFonts w:ascii="Arial" w:hAnsi="Arial" w:cs="Arial"/>
          <w:color w:val="333333"/>
          <w:szCs w:val="20"/>
        </w:rPr>
        <w:t xml:space="preserve"> </w:t>
      </w:r>
      <w:r w:rsidR="006D2551">
        <w:rPr>
          <w:rFonts w:ascii="Arial" w:hAnsi="Arial" w:cs="Arial"/>
          <w:color w:val="333333"/>
          <w:szCs w:val="20"/>
        </w:rPr>
        <w:t>8</w:t>
      </w:r>
      <w:r w:rsidRPr="004A6691">
        <w:rPr>
          <w:rFonts w:ascii="Arial" w:hAnsi="Arial" w:cs="Arial"/>
          <w:color w:val="333333"/>
          <w:szCs w:val="20"/>
        </w:rPr>
        <w:t xml:space="preserve"> percent were administ</w:t>
      </w:r>
      <w:r w:rsidR="006F4291">
        <w:rPr>
          <w:rFonts w:ascii="Arial" w:hAnsi="Arial" w:cs="Arial"/>
          <w:color w:val="333333"/>
          <w:szCs w:val="20"/>
        </w:rPr>
        <w:t>rators or school district staff;</w:t>
      </w:r>
      <w:r w:rsidRPr="004A6691">
        <w:rPr>
          <w:rFonts w:ascii="Arial" w:hAnsi="Arial" w:cs="Arial"/>
          <w:color w:val="333333"/>
          <w:szCs w:val="20"/>
        </w:rPr>
        <w:t xml:space="preserve"> and about </w:t>
      </w:r>
      <w:r w:rsidR="006D2551">
        <w:rPr>
          <w:rFonts w:ascii="Arial" w:hAnsi="Arial" w:cs="Arial"/>
          <w:color w:val="333333"/>
          <w:szCs w:val="20"/>
        </w:rPr>
        <w:t>8</w:t>
      </w:r>
      <w:r w:rsidR="00223F0B">
        <w:rPr>
          <w:rFonts w:ascii="Arial" w:hAnsi="Arial" w:cs="Arial"/>
          <w:color w:val="333333"/>
          <w:szCs w:val="20"/>
        </w:rPr>
        <w:t xml:space="preserve"> </w:t>
      </w:r>
      <w:r w:rsidRPr="004A6691">
        <w:rPr>
          <w:rFonts w:ascii="Arial" w:hAnsi="Arial" w:cs="Arial"/>
          <w:color w:val="333333"/>
          <w:szCs w:val="20"/>
        </w:rPr>
        <w:t>percent represented business or the community at-large. The remainder were students, professors and state agency partners.</w:t>
      </w:r>
    </w:p>
    <w:p w:rsidR="00DE5B20" w:rsidRPr="00223F0B" w:rsidRDefault="00DE5B20" w:rsidP="003D2AE9">
      <w:pPr>
        <w:pStyle w:val="ListParagraph"/>
        <w:shd w:val="clear" w:color="auto" w:fill="FFFFFF"/>
        <w:spacing w:line="270" w:lineRule="atLeast"/>
        <w:ind w:left="360" w:hanging="360"/>
        <w:rPr>
          <w:rFonts w:ascii="Arial" w:hAnsi="Arial" w:cs="Arial"/>
          <w:color w:val="333333"/>
          <w:szCs w:val="20"/>
        </w:rPr>
      </w:pPr>
    </w:p>
    <w:p w:rsidR="006D2551"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4A6691">
        <w:rPr>
          <w:rFonts w:ascii="Arial" w:hAnsi="Arial" w:cs="Arial"/>
          <w:color w:val="333333"/>
          <w:szCs w:val="20"/>
        </w:rPr>
        <w:t xml:space="preserve">Overall, 88 percent of the respondents gave the standards a “thumbs up” and did not indicate any changes were needed. </w:t>
      </w:r>
    </w:p>
    <w:p w:rsidR="006D2551" w:rsidRPr="006D2551" w:rsidRDefault="006D2551" w:rsidP="003D2AE9">
      <w:pPr>
        <w:pStyle w:val="ListParagraph"/>
        <w:ind w:left="360" w:hanging="360"/>
        <w:rPr>
          <w:rFonts w:ascii="Arial" w:hAnsi="Arial" w:cs="Arial"/>
          <w:color w:val="333333"/>
          <w:szCs w:val="20"/>
        </w:rPr>
      </w:pPr>
    </w:p>
    <w:p w:rsidR="006D2551"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4A6691">
        <w:rPr>
          <w:rFonts w:ascii="Arial" w:hAnsi="Arial" w:cs="Arial"/>
          <w:color w:val="333333"/>
          <w:szCs w:val="20"/>
        </w:rPr>
        <w:t>About 12 percent of respondents indicated they would like to see some sort of change in one or more of the standards. Of those who wanted to see a change, 71 percent wanted to see one or more of the standards moved to a different grade level; 32 percent suggested a rewrite of a standard and about 8 percent wanted to see a current standard broken into two or more standards. Respondents could suggest more than one change to the standards.</w:t>
      </w:r>
    </w:p>
    <w:p w:rsidR="006D2551" w:rsidRPr="006D2551" w:rsidRDefault="006D2551" w:rsidP="003D2AE9">
      <w:pPr>
        <w:pStyle w:val="ListParagraph"/>
        <w:ind w:left="360" w:hanging="360"/>
        <w:rPr>
          <w:rFonts w:ascii="Arial" w:hAnsi="Arial" w:cs="Arial"/>
          <w:color w:val="333333"/>
          <w:szCs w:val="20"/>
        </w:rPr>
      </w:pPr>
    </w:p>
    <w:p w:rsidR="000C6F67"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6D2551">
        <w:rPr>
          <w:rFonts w:ascii="Arial" w:hAnsi="Arial" w:cs="Arial"/>
          <w:color w:val="333333"/>
          <w:szCs w:val="20"/>
        </w:rPr>
        <w:t xml:space="preserve">Teams of content experts, teachers from K-12 and postsecondary, and education stakeholders are working with agency staff to review all of the feedback collected as part of the challenge and propose revisions that have merit for improving the overall quality and appropriateness of the standards to promote college/career readiness for all students. </w:t>
      </w:r>
    </w:p>
    <w:p w:rsidR="000C6F67" w:rsidRPr="000C6F67" w:rsidRDefault="000C6F67" w:rsidP="003D2AE9">
      <w:pPr>
        <w:pStyle w:val="ListParagraph"/>
        <w:ind w:left="360" w:hanging="360"/>
        <w:rPr>
          <w:rFonts w:ascii="Arial" w:hAnsi="Arial" w:cs="Arial"/>
          <w:color w:val="333333"/>
          <w:szCs w:val="20"/>
        </w:rPr>
      </w:pPr>
    </w:p>
    <w:p w:rsidR="00C133D3" w:rsidRDefault="004A6691" w:rsidP="003D2AE9">
      <w:pPr>
        <w:pStyle w:val="ListParagraph"/>
        <w:numPr>
          <w:ilvl w:val="0"/>
          <w:numId w:val="3"/>
        </w:numPr>
        <w:shd w:val="clear" w:color="auto" w:fill="FFFFFF"/>
        <w:spacing w:line="270" w:lineRule="atLeast"/>
        <w:ind w:left="360"/>
        <w:rPr>
          <w:rFonts w:ascii="Arial" w:hAnsi="Arial" w:cs="Arial"/>
          <w:color w:val="333333"/>
          <w:szCs w:val="20"/>
        </w:rPr>
      </w:pPr>
      <w:r w:rsidRPr="006D2551">
        <w:rPr>
          <w:rFonts w:ascii="Arial" w:hAnsi="Arial" w:cs="Arial"/>
          <w:color w:val="333333"/>
          <w:szCs w:val="20"/>
        </w:rPr>
        <w:t>Proposed changes will be shared with educators for clarity before going to the Kentucky Board of Education for consideration. Any changes to the standards would not be implemented until the 2016-17 school year or later.</w:t>
      </w:r>
    </w:p>
    <w:p w:rsidR="00C133D3" w:rsidRPr="00C133D3" w:rsidRDefault="00C133D3" w:rsidP="00C218CE">
      <w:pPr>
        <w:pStyle w:val="ListParagraph"/>
        <w:spacing w:after="0" w:line="240" w:lineRule="auto"/>
        <w:ind w:left="360" w:hanging="360"/>
        <w:rPr>
          <w:rFonts w:ascii="Arial" w:hAnsi="Arial" w:cs="Arial"/>
        </w:rPr>
      </w:pPr>
    </w:p>
    <w:p w:rsidR="00026065" w:rsidRPr="00C218CE" w:rsidRDefault="000C6F67" w:rsidP="00C218CE">
      <w:pPr>
        <w:shd w:val="clear" w:color="auto" w:fill="FFFFFF"/>
        <w:spacing w:line="270" w:lineRule="atLeast"/>
        <w:rPr>
          <w:rFonts w:ascii="Arial" w:hAnsi="Arial" w:cs="Arial"/>
          <w:color w:val="333333"/>
          <w:szCs w:val="20"/>
        </w:rPr>
      </w:pPr>
      <w:r w:rsidRPr="00C218CE">
        <w:rPr>
          <w:rFonts w:ascii="Arial" w:hAnsi="Arial" w:cs="Arial"/>
        </w:rPr>
        <w:t>Kentucky has essentially the same academic standards in English/language arts and mathematics as the majority of the top 10 performing states in the country.</w:t>
      </w:r>
      <w:r w:rsidRPr="00C218CE">
        <w:rPr>
          <w:rFonts w:ascii="Arial" w:hAnsi="Arial" w:cs="Arial"/>
          <w:shd w:val="clear" w:color="auto" w:fill="FFFFFF"/>
          <w:vertAlign w:val="superscript"/>
        </w:rPr>
        <w:t xml:space="preserve"> </w:t>
      </w:r>
    </w:p>
    <w:p w:rsidR="00026065" w:rsidRPr="00026065" w:rsidRDefault="00026065" w:rsidP="003D2AE9">
      <w:pPr>
        <w:pStyle w:val="ListParagraph"/>
        <w:ind w:left="360" w:hanging="360"/>
        <w:rPr>
          <w:rFonts w:ascii="Arial" w:hAnsi="Arial" w:cs="Arial"/>
          <w:b/>
        </w:rPr>
      </w:pPr>
    </w:p>
    <w:p w:rsidR="00026065" w:rsidRPr="00026065" w:rsidRDefault="00026065" w:rsidP="003D2AE9">
      <w:pPr>
        <w:tabs>
          <w:tab w:val="left" w:pos="9059"/>
        </w:tabs>
        <w:spacing w:after="0" w:line="240" w:lineRule="auto"/>
        <w:ind w:left="360" w:hanging="900"/>
        <w:rPr>
          <w:rFonts w:ascii="Arial" w:hAnsi="Arial" w:cs="Arial"/>
        </w:rPr>
      </w:pPr>
      <w:r>
        <w:rPr>
          <w:rFonts w:ascii="Arial" w:hAnsi="Arial" w:cs="Arial"/>
          <w:b/>
        </w:rPr>
        <w:t>T</w:t>
      </w:r>
      <w:r w:rsidRPr="00026065">
        <w:rPr>
          <w:rFonts w:ascii="Arial" w:hAnsi="Arial" w:cs="Arial"/>
          <w:b/>
        </w:rPr>
        <w:t>EACHERS</w:t>
      </w:r>
    </w:p>
    <w:p w:rsidR="00026065" w:rsidRPr="00026065" w:rsidRDefault="00026065" w:rsidP="003D2AE9">
      <w:pPr>
        <w:pStyle w:val="ListParagraph"/>
        <w:numPr>
          <w:ilvl w:val="0"/>
          <w:numId w:val="3"/>
        </w:numPr>
        <w:spacing w:line="256" w:lineRule="auto"/>
        <w:ind w:left="360"/>
        <w:rPr>
          <w:rFonts w:ascii="Arial" w:hAnsi="Arial" w:cs="Arial"/>
        </w:rPr>
      </w:pPr>
      <w:r w:rsidRPr="00026065">
        <w:rPr>
          <w:rFonts w:ascii="Arial" w:hAnsi="Arial" w:cs="Arial"/>
        </w:rPr>
        <w:t>Kentucky has a total of 3,273 teachers who have earned National Board for Professional Teaching Standards certification, the 9th most in the nation. Nearly 8 percent of Kentucky’s total teaching force is board certified, putting the state in 7th place nationally.</w:t>
      </w:r>
    </w:p>
    <w:p w:rsidR="000308E1" w:rsidRPr="009B0B5D" w:rsidRDefault="000308E1" w:rsidP="000308E1">
      <w:pPr>
        <w:spacing w:after="0" w:line="240" w:lineRule="auto"/>
        <w:ind w:left="-540"/>
        <w:rPr>
          <w:rFonts w:ascii="Arial" w:hAnsi="Arial" w:cs="Arial"/>
          <w:b/>
        </w:rPr>
      </w:pPr>
      <w:r>
        <w:rPr>
          <w:rFonts w:ascii="Arial" w:hAnsi="Arial" w:cs="Arial"/>
          <w:b/>
        </w:rPr>
        <w:t>TESTING</w:t>
      </w:r>
    </w:p>
    <w:p w:rsidR="000308E1" w:rsidRPr="00E01EBB" w:rsidRDefault="000308E1" w:rsidP="009727C8">
      <w:pPr>
        <w:pStyle w:val="ListParagraph"/>
        <w:numPr>
          <w:ilvl w:val="0"/>
          <w:numId w:val="3"/>
        </w:numPr>
        <w:tabs>
          <w:tab w:val="left" w:pos="9059"/>
        </w:tabs>
        <w:spacing w:after="0" w:line="240" w:lineRule="auto"/>
        <w:ind w:left="360"/>
        <w:rPr>
          <w:rFonts w:ascii="Arial" w:hAnsi="Arial" w:cs="Arial"/>
          <w:sz w:val="24"/>
        </w:rPr>
      </w:pPr>
      <w:r w:rsidRPr="007548C9">
        <w:rPr>
          <w:rFonts w:ascii="Arial" w:hAnsi="Arial" w:cs="Arial"/>
          <w:szCs w:val="20"/>
          <w:shd w:val="clear" w:color="auto" w:fill="FFFFFF"/>
        </w:rPr>
        <w:t>On average, administering Kentucky’s state-level assessments take less than 1 percent of the total instructional time in a given school year.</w:t>
      </w:r>
    </w:p>
    <w:p w:rsidR="001D5CCF" w:rsidRDefault="001D5CCF" w:rsidP="00B77EC2">
      <w:pPr>
        <w:tabs>
          <w:tab w:val="left" w:pos="9059"/>
        </w:tabs>
        <w:spacing w:after="0" w:line="240" w:lineRule="auto"/>
        <w:ind w:left="-540"/>
        <w:rPr>
          <w:rFonts w:ascii="Arial" w:hAnsi="Arial" w:cs="Arial"/>
          <w:b/>
        </w:rPr>
      </w:pPr>
    </w:p>
    <w:p w:rsidR="001D5CCF" w:rsidRDefault="001D5CCF" w:rsidP="000C6F67">
      <w:pPr>
        <w:tabs>
          <w:tab w:val="left" w:pos="9059"/>
        </w:tabs>
        <w:spacing w:after="0" w:line="240" w:lineRule="auto"/>
        <w:rPr>
          <w:rFonts w:ascii="Arial" w:hAnsi="Arial" w:cs="Arial"/>
          <w:b/>
        </w:rPr>
      </w:pPr>
    </w:p>
    <w:p w:rsidR="00E01EBB" w:rsidRDefault="00E01EBB">
      <w:pPr>
        <w:rPr>
          <w:rFonts w:ascii="Arial" w:hAnsi="Arial" w:cs="Arial"/>
          <w:b/>
        </w:rPr>
      </w:pPr>
      <w:r>
        <w:rPr>
          <w:rFonts w:ascii="Arial" w:hAnsi="Arial" w:cs="Arial"/>
          <w:b/>
        </w:rPr>
        <w:br w:type="page"/>
      </w:r>
      <w:bookmarkStart w:id="0" w:name="_GoBack"/>
      <w:bookmarkEnd w:id="0"/>
    </w:p>
    <w:p w:rsidR="002E3BA1" w:rsidRDefault="00D65ECF" w:rsidP="00B77EC2">
      <w:pPr>
        <w:tabs>
          <w:tab w:val="left" w:pos="9059"/>
        </w:tabs>
        <w:spacing w:after="0" w:line="240" w:lineRule="auto"/>
        <w:ind w:left="-540"/>
        <w:rPr>
          <w:rFonts w:ascii="Arial" w:hAnsi="Arial" w:cs="Arial"/>
          <w:b/>
        </w:rPr>
      </w:pPr>
      <w:r w:rsidRPr="00D65ECF">
        <w:rPr>
          <w:rFonts w:ascii="Arial" w:hAnsi="Arial" w:cs="Arial"/>
          <w:b/>
        </w:rPr>
        <w:lastRenderedPageBreak/>
        <w:t>ACHIEVEMENT</w:t>
      </w:r>
      <w:r w:rsidR="002E3BA1" w:rsidRPr="00B77EC2">
        <w:rPr>
          <w:rFonts w:ascii="Arial" w:hAnsi="Arial" w:cs="Arial"/>
          <w:b/>
          <w:i/>
        </w:rPr>
        <w:br/>
      </w:r>
      <w:r w:rsidR="002E3BA1" w:rsidRPr="00B77EC2">
        <w:rPr>
          <w:rFonts w:ascii="Arial" w:hAnsi="Arial" w:cs="Arial"/>
        </w:rPr>
        <w:t xml:space="preserve">According to the National Assessment of Educational Progress (NAEP), also known as the Nation’s Report Card, </w:t>
      </w:r>
      <w:r w:rsidR="002E3BA1" w:rsidRPr="00B77EC2">
        <w:rPr>
          <w:rFonts w:ascii="Arial" w:hAnsi="Arial" w:cs="Arial"/>
          <w:b/>
        </w:rPr>
        <w:t>Kentucky students outperform their peers at most levels in reading</w:t>
      </w:r>
      <w:r w:rsidR="003C4A39">
        <w:rPr>
          <w:rFonts w:ascii="Arial" w:hAnsi="Arial" w:cs="Arial"/>
          <w:b/>
        </w:rPr>
        <w:t xml:space="preserve">, </w:t>
      </w:r>
      <w:r w:rsidR="002E3BA1" w:rsidRPr="00B77EC2">
        <w:rPr>
          <w:rFonts w:ascii="Arial" w:hAnsi="Arial" w:cs="Arial"/>
          <w:b/>
        </w:rPr>
        <w:t>mathematics</w:t>
      </w:r>
      <w:r w:rsidR="003C4A39">
        <w:rPr>
          <w:rFonts w:ascii="Arial" w:hAnsi="Arial" w:cs="Arial"/>
          <w:b/>
        </w:rPr>
        <w:t xml:space="preserve"> and science</w:t>
      </w:r>
      <w:r w:rsidR="002E3BA1" w:rsidRPr="00B77EC2">
        <w:rPr>
          <w:rFonts w:ascii="Arial" w:hAnsi="Arial" w:cs="Arial"/>
          <w:b/>
        </w:rPr>
        <w:t>.</w:t>
      </w:r>
    </w:p>
    <w:p w:rsidR="0045430B" w:rsidRPr="00B77EC2" w:rsidRDefault="0045430B" w:rsidP="00B77EC2">
      <w:pPr>
        <w:tabs>
          <w:tab w:val="left" w:pos="9059"/>
        </w:tabs>
        <w:spacing w:after="0" w:line="240" w:lineRule="auto"/>
        <w:ind w:left="-540"/>
        <w:rPr>
          <w:rFonts w:ascii="Arial" w:hAnsi="Arial" w:cs="Arial"/>
          <w:b/>
          <w:i/>
        </w:rPr>
      </w:pPr>
    </w:p>
    <w:p w:rsidR="002E3BA1" w:rsidRPr="00B77EC2" w:rsidRDefault="00FD0A73" w:rsidP="00B77EC2">
      <w:pPr>
        <w:spacing w:after="0" w:line="240" w:lineRule="auto"/>
        <w:rPr>
          <w:rFonts w:ascii="Arial" w:hAnsi="Arial" w:cs="Arial"/>
          <w:b/>
        </w:rPr>
      </w:pPr>
      <w:r>
        <w:rPr>
          <w:rFonts w:ascii="Arial" w:hAnsi="Arial" w:cs="Arial"/>
          <w:b/>
        </w:rPr>
        <w:t xml:space="preserve">                </w:t>
      </w:r>
      <w:r w:rsidR="002E3BA1" w:rsidRPr="00B77EC2">
        <w:rPr>
          <w:rFonts w:ascii="Arial" w:hAnsi="Arial" w:cs="Arial"/>
          <w:b/>
        </w:rPr>
        <w:t xml:space="preserve">  NAEP READING</w:t>
      </w:r>
      <w:r w:rsidR="002E3BA1" w:rsidRPr="00B77EC2">
        <w:rPr>
          <w:rFonts w:ascii="Arial" w:hAnsi="Arial" w:cs="Arial"/>
          <w:b/>
        </w:rPr>
        <w:tab/>
      </w:r>
      <w:r w:rsidR="00DD46CB">
        <w:rPr>
          <w:rFonts w:ascii="Arial" w:hAnsi="Arial" w:cs="Arial"/>
        </w:rPr>
        <w:tab/>
      </w:r>
      <w:r w:rsidR="00DD46CB">
        <w:rPr>
          <w:rFonts w:ascii="Arial" w:hAnsi="Arial" w:cs="Arial"/>
        </w:rPr>
        <w:tab/>
      </w:r>
      <w:r w:rsidR="00DD46CB">
        <w:rPr>
          <w:rFonts w:ascii="Arial" w:hAnsi="Arial" w:cs="Arial"/>
        </w:rPr>
        <w:tab/>
      </w:r>
      <w:r w:rsidR="00344AC4">
        <w:rPr>
          <w:rFonts w:ascii="Arial" w:hAnsi="Arial" w:cs="Arial"/>
        </w:rPr>
        <w:tab/>
        <w:t xml:space="preserve">     </w:t>
      </w:r>
      <w:r w:rsidR="00DD46CB">
        <w:rPr>
          <w:rFonts w:ascii="Arial" w:hAnsi="Arial" w:cs="Arial"/>
        </w:rPr>
        <w:t xml:space="preserve">      </w:t>
      </w:r>
      <w:r w:rsidR="002E3BA1" w:rsidRPr="00B77EC2">
        <w:rPr>
          <w:rFonts w:ascii="Arial" w:hAnsi="Arial" w:cs="Arial"/>
        </w:rPr>
        <w:t xml:space="preserve">       </w:t>
      </w:r>
      <w:r w:rsidR="002E3BA1" w:rsidRPr="00B77EC2">
        <w:rPr>
          <w:rFonts w:ascii="Arial" w:hAnsi="Arial" w:cs="Arial"/>
          <w:b/>
        </w:rPr>
        <w:t>NAEP MATHEMATICS</w:t>
      </w:r>
    </w:p>
    <w:p w:rsidR="002E3BA1" w:rsidRPr="00B77EC2" w:rsidRDefault="000059DE" w:rsidP="00B77EC2">
      <w:pPr>
        <w:spacing w:after="0" w:line="240" w:lineRule="auto"/>
        <w:rPr>
          <w:rFonts w:ascii="Arial" w:hAnsi="Arial" w:cs="Arial"/>
        </w:rPr>
      </w:pPr>
      <w:r w:rsidRPr="00B77EC2">
        <w:rPr>
          <w:rFonts w:ascii="Arial" w:hAnsi="Arial" w:cs="Arial"/>
          <w:noProof/>
        </w:rPr>
        <w:drawing>
          <wp:anchor distT="0" distB="0" distL="114300" distR="114300" simplePos="0" relativeHeight="251659264" behindDoc="1" locked="0" layoutInCell="1" allowOverlap="1" wp14:anchorId="1355B96B" wp14:editId="5AB6FA0A">
            <wp:simplePos x="0" y="0"/>
            <wp:positionH relativeFrom="page">
              <wp:posOffset>3994150</wp:posOffset>
            </wp:positionH>
            <wp:positionV relativeFrom="paragraph">
              <wp:posOffset>110490</wp:posOffset>
            </wp:positionV>
            <wp:extent cx="3474720" cy="1917700"/>
            <wp:effectExtent l="0" t="0" r="11430" b="63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DD46CB" w:rsidRPr="00B77EC2">
        <w:rPr>
          <w:rFonts w:ascii="Arial" w:hAnsi="Arial" w:cs="Arial"/>
          <w:noProof/>
        </w:rPr>
        <w:drawing>
          <wp:anchor distT="0" distB="0" distL="114300" distR="114300" simplePos="0" relativeHeight="251660288" behindDoc="1" locked="0" layoutInCell="1" allowOverlap="1" wp14:anchorId="40D749EB" wp14:editId="1E3BA101">
            <wp:simplePos x="0" y="0"/>
            <wp:positionH relativeFrom="column">
              <wp:posOffset>-477520</wp:posOffset>
            </wp:positionH>
            <wp:positionV relativeFrom="paragraph">
              <wp:posOffset>89535</wp:posOffset>
            </wp:positionV>
            <wp:extent cx="3455670" cy="1924050"/>
            <wp:effectExtent l="0" t="0" r="1143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2E3BA1" w:rsidRDefault="002E3BA1"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223F0B" w:rsidP="00223F0B">
      <w:pPr>
        <w:tabs>
          <w:tab w:val="left" w:pos="4340"/>
        </w:tabs>
        <w:spacing w:after="0" w:line="240" w:lineRule="auto"/>
        <w:rPr>
          <w:rFonts w:ascii="Arial" w:hAnsi="Arial" w:cs="Arial"/>
        </w:rPr>
      </w:pPr>
      <w:r>
        <w:rPr>
          <w:rFonts w:ascii="Arial" w:hAnsi="Arial" w:cs="Arial"/>
        </w:rPr>
        <w:tab/>
      </w: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0059DE" w:rsidRPr="00B77EC2" w:rsidRDefault="000059DE" w:rsidP="00B77EC2">
      <w:pPr>
        <w:spacing w:after="0" w:line="240" w:lineRule="auto"/>
        <w:rPr>
          <w:rFonts w:ascii="Arial" w:hAnsi="Arial" w:cs="Arial"/>
        </w:rPr>
      </w:pPr>
    </w:p>
    <w:p w:rsidR="000C6F67" w:rsidRDefault="0069470B" w:rsidP="00DD46CB">
      <w:pPr>
        <w:pStyle w:val="ListParagraph"/>
        <w:spacing w:after="0" w:line="240" w:lineRule="auto"/>
        <w:ind w:left="-547"/>
        <w:rPr>
          <w:rFonts w:ascii="Arial" w:hAnsi="Arial" w:cs="Arial"/>
          <w:b/>
          <w:color w:val="000000"/>
        </w:rPr>
      </w:pPr>
      <w:r>
        <w:rPr>
          <w:noProof/>
        </w:rPr>
        <w:drawing>
          <wp:anchor distT="0" distB="0" distL="114300" distR="114300" simplePos="0" relativeHeight="251662336" behindDoc="0" locked="0" layoutInCell="1" allowOverlap="1" wp14:anchorId="42F0DD7F" wp14:editId="2D6E18FF">
            <wp:simplePos x="0" y="0"/>
            <wp:positionH relativeFrom="column">
              <wp:posOffset>-452120</wp:posOffset>
            </wp:positionH>
            <wp:positionV relativeFrom="paragraph">
              <wp:posOffset>167005</wp:posOffset>
            </wp:positionV>
            <wp:extent cx="3422650" cy="1778000"/>
            <wp:effectExtent l="0" t="0" r="6350" b="12700"/>
            <wp:wrapThrough wrapText="bothSides">
              <wp:wrapPolygon edited="0">
                <wp:start x="0" y="0"/>
                <wp:lineTo x="0" y="21523"/>
                <wp:lineTo x="21520" y="21523"/>
                <wp:lineTo x="2152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344AC4">
        <w:rPr>
          <w:rFonts w:ascii="Arial" w:hAnsi="Arial" w:cs="Arial"/>
          <w:b/>
        </w:rPr>
        <w:tab/>
        <w:t xml:space="preserve">               </w:t>
      </w:r>
      <w:r w:rsidR="00114244" w:rsidRPr="00B77EC2">
        <w:rPr>
          <w:rFonts w:ascii="Arial" w:hAnsi="Arial" w:cs="Arial"/>
          <w:b/>
        </w:rPr>
        <w:t xml:space="preserve">NAEP </w:t>
      </w:r>
      <w:r w:rsidR="00114244">
        <w:rPr>
          <w:rFonts w:ascii="Arial" w:hAnsi="Arial" w:cs="Arial"/>
          <w:b/>
        </w:rPr>
        <w:t>SCIENCE</w:t>
      </w:r>
    </w:p>
    <w:p w:rsidR="000C6F67" w:rsidRDefault="00344AC4" w:rsidP="00DD46CB">
      <w:pPr>
        <w:pStyle w:val="ListParagraph"/>
        <w:spacing w:after="0" w:line="240" w:lineRule="auto"/>
        <w:ind w:left="-547"/>
        <w:rPr>
          <w:rFonts w:ascii="Arial" w:hAnsi="Arial" w:cs="Arial"/>
          <w:b/>
          <w:color w:val="000000"/>
        </w:rPr>
      </w:pPr>
      <w:r w:rsidRPr="00B77EC2">
        <w:rPr>
          <w:rFonts w:ascii="Arial" w:hAnsi="Arial" w:cs="Arial"/>
          <w:b/>
          <w:noProof/>
        </w:rPr>
        <w:drawing>
          <wp:anchor distT="0" distB="0" distL="114300" distR="114300" simplePos="0" relativeHeight="251661312" behindDoc="1" locked="0" layoutInCell="1" allowOverlap="1" wp14:anchorId="3D490F1F" wp14:editId="36D5EE5B">
            <wp:simplePos x="0" y="0"/>
            <wp:positionH relativeFrom="page">
              <wp:posOffset>4057650</wp:posOffset>
            </wp:positionH>
            <wp:positionV relativeFrom="paragraph">
              <wp:posOffset>84455</wp:posOffset>
            </wp:positionV>
            <wp:extent cx="3245172" cy="3937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gend.tif"/>
                    <pic:cNvPicPr/>
                  </pic:nvPicPr>
                  <pic:blipFill>
                    <a:blip r:embed="rId29">
                      <a:extLst>
                        <a:ext uri="{28A0092B-C50C-407E-A947-70E740481C1C}">
                          <a14:useLocalDpi xmlns:a14="http://schemas.microsoft.com/office/drawing/2010/main" val="0"/>
                        </a:ext>
                      </a:extLst>
                    </a:blip>
                    <a:stretch>
                      <a:fillRect/>
                    </a:stretch>
                  </pic:blipFill>
                  <pic:spPr>
                    <a:xfrm>
                      <a:off x="0" y="0"/>
                      <a:ext cx="3245172" cy="393700"/>
                    </a:xfrm>
                    <a:prstGeom prst="rect">
                      <a:avLst/>
                    </a:prstGeom>
                    <a:ln>
                      <a:noFill/>
                    </a:ln>
                  </pic:spPr>
                </pic:pic>
              </a:graphicData>
            </a:graphic>
            <wp14:sizeRelH relativeFrom="margin">
              <wp14:pctWidth>0</wp14:pctWidth>
            </wp14:sizeRelH>
            <wp14:sizeRelV relativeFrom="margin">
              <wp14:pctHeight>0</wp14:pctHeight>
            </wp14:sizeRelV>
          </wp:anchor>
        </w:drawing>
      </w:r>
    </w:p>
    <w:p w:rsidR="000C6F67" w:rsidRDefault="000C6F67" w:rsidP="00DD46CB">
      <w:pPr>
        <w:pStyle w:val="ListParagraph"/>
        <w:spacing w:after="0" w:line="240" w:lineRule="auto"/>
        <w:ind w:left="-547"/>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223F0B" w:rsidRDefault="00223F0B" w:rsidP="007B02A1">
      <w:pPr>
        <w:pStyle w:val="ListParagraph"/>
        <w:spacing w:after="0" w:line="240" w:lineRule="auto"/>
        <w:ind w:left="-547" w:firstLine="720"/>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E01EBB" w:rsidRDefault="00E01EBB" w:rsidP="00DD46CB">
      <w:pPr>
        <w:pStyle w:val="ListParagraph"/>
        <w:spacing w:after="0" w:line="240" w:lineRule="auto"/>
        <w:ind w:left="-547"/>
        <w:rPr>
          <w:rFonts w:ascii="Arial" w:hAnsi="Arial" w:cs="Arial"/>
          <w:b/>
          <w:color w:val="000000"/>
        </w:rPr>
      </w:pPr>
    </w:p>
    <w:p w:rsidR="00E01EBB" w:rsidRDefault="00E01EBB" w:rsidP="00DD46CB">
      <w:pPr>
        <w:pStyle w:val="ListParagraph"/>
        <w:spacing w:after="0" w:line="240" w:lineRule="auto"/>
        <w:ind w:left="-547"/>
        <w:rPr>
          <w:rFonts w:ascii="Arial" w:hAnsi="Arial" w:cs="Arial"/>
          <w:b/>
          <w:color w:val="000000"/>
        </w:rPr>
      </w:pPr>
    </w:p>
    <w:p w:rsidR="0045430B" w:rsidRPr="000C6F67" w:rsidRDefault="002E3BA1" w:rsidP="00E01EBB">
      <w:pPr>
        <w:pStyle w:val="ListParagraph"/>
        <w:spacing w:after="0" w:line="240" w:lineRule="auto"/>
        <w:ind w:left="-547"/>
        <w:rPr>
          <w:rFonts w:ascii="Arial" w:hAnsi="Arial" w:cs="Arial"/>
          <w:b/>
          <w:color w:val="000000"/>
        </w:rPr>
      </w:pPr>
      <w:r w:rsidRPr="00B77EC2">
        <w:rPr>
          <w:rFonts w:ascii="Arial" w:hAnsi="Arial" w:cs="Arial"/>
          <w:b/>
          <w:color w:val="000000"/>
        </w:rPr>
        <w:t>In the last five years, Kentucky</w:t>
      </w:r>
      <w:r w:rsidR="00F113BA">
        <w:rPr>
          <w:rFonts w:ascii="Arial" w:hAnsi="Arial" w:cs="Arial"/>
          <w:b/>
          <w:color w:val="000000"/>
        </w:rPr>
        <w:t xml:space="preserve"> students have</w:t>
      </w:r>
      <w:r w:rsidRPr="00B77EC2">
        <w:rPr>
          <w:rFonts w:ascii="Arial" w:hAnsi="Arial" w:cs="Arial"/>
          <w:b/>
          <w:color w:val="000000"/>
        </w:rPr>
        <w:t xml:space="preserve"> made greater gains on the ACT </w:t>
      </w:r>
      <w:r w:rsidR="009D5F35">
        <w:rPr>
          <w:rFonts w:ascii="Arial" w:hAnsi="Arial" w:cs="Arial"/>
          <w:b/>
          <w:color w:val="000000"/>
        </w:rPr>
        <w:t>than the rest of United States.</w:t>
      </w:r>
    </w:p>
    <w:p w:rsidR="002E3BA1" w:rsidRPr="00B77EC2" w:rsidRDefault="002E3BA1" w:rsidP="00F113BA">
      <w:pPr>
        <w:spacing w:after="0" w:line="240" w:lineRule="auto"/>
        <w:jc w:val="center"/>
        <w:rPr>
          <w:rFonts w:ascii="Arial" w:hAnsi="Arial" w:cs="Arial"/>
          <w:b/>
          <w:color w:val="000000"/>
        </w:rPr>
      </w:pPr>
      <w:r w:rsidRPr="00B77EC2">
        <w:rPr>
          <w:rFonts w:ascii="Arial" w:hAnsi="Arial" w:cs="Arial"/>
          <w:b/>
          <w:color w:val="000000"/>
        </w:rPr>
        <w:t>Kentucky Public High School Graduates’ Average ACT Scores</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57"/>
        <w:gridCol w:w="719"/>
        <w:gridCol w:w="800"/>
        <w:gridCol w:w="706"/>
        <w:gridCol w:w="771"/>
        <w:gridCol w:w="1888"/>
        <w:gridCol w:w="1800"/>
      </w:tblGrid>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2011</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2012</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2013</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2014</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2015</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KY 5-year gain</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US 5-year gain</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English</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18.7</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19.0</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19.4</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19.6</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+.9</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Mathematics</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18.8</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19.1</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19.3</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19.6</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Reading</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19.6</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19.8</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19.8</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20.2</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20.3</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+.7</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Science</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19.3</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19.5</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19.7</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20.0</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20.1</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Composite</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19.5</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19.6</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19.9</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20.0</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w:t>
            </w:r>
          </w:p>
        </w:tc>
      </w:tr>
    </w:tbl>
    <w:p w:rsidR="0045430B" w:rsidRDefault="0045430B" w:rsidP="0045430B">
      <w:pPr>
        <w:spacing w:after="0" w:line="240" w:lineRule="auto"/>
        <w:rPr>
          <w:rFonts w:ascii="Arial" w:eastAsia="Times New Roman" w:hAnsi="Arial" w:cs="Arial"/>
        </w:rPr>
      </w:pPr>
    </w:p>
    <w:p w:rsidR="0045430B" w:rsidRDefault="0045430B" w:rsidP="0045430B">
      <w:pPr>
        <w:spacing w:after="0" w:line="240" w:lineRule="auto"/>
        <w:rPr>
          <w:rFonts w:ascii="Arial" w:eastAsia="Times New Roman" w:hAnsi="Arial" w:cs="Arial"/>
        </w:rPr>
      </w:pPr>
    </w:p>
    <w:p w:rsidR="002E3BA1" w:rsidRDefault="002E3BA1" w:rsidP="0045430B">
      <w:pPr>
        <w:spacing w:after="0" w:line="240" w:lineRule="auto"/>
        <w:ind w:left="-630"/>
        <w:rPr>
          <w:rFonts w:ascii="Arial" w:hAnsi="Arial" w:cs="Arial"/>
          <w:color w:val="000000"/>
        </w:rPr>
      </w:pPr>
      <w:r w:rsidRPr="00B77EC2">
        <w:rPr>
          <w:rFonts w:ascii="Arial" w:hAnsi="Arial" w:cs="Arial"/>
          <w:color w:val="000000"/>
        </w:rPr>
        <w:t>In 2015</w:t>
      </w:r>
      <w:r w:rsidRPr="00B77EC2">
        <w:rPr>
          <w:rFonts w:ascii="Arial" w:hAnsi="Arial" w:cs="Arial"/>
          <w:b/>
          <w:color w:val="000000"/>
        </w:rPr>
        <w:t xml:space="preserve">, more Kentucky public high school students took rigorous Advanced Placement (AP) </w:t>
      </w:r>
      <w:r w:rsidRPr="00B77EC2">
        <w:rPr>
          <w:rFonts w:ascii="Arial" w:hAnsi="Arial" w:cs="Arial"/>
          <w:b/>
          <w:color w:val="000000"/>
        </w:rPr>
        <w:br/>
        <w:t>tests and scored higher than ever before</w:t>
      </w:r>
      <w:r w:rsidRPr="00B77EC2">
        <w:rPr>
          <w:rFonts w:ascii="Arial" w:hAnsi="Arial" w:cs="Arial"/>
          <w:color w:val="000000"/>
        </w:rPr>
        <w:t>.</w:t>
      </w:r>
    </w:p>
    <w:p w:rsidR="00D65ECF" w:rsidRDefault="00D65ECF" w:rsidP="00B77EC2">
      <w:pPr>
        <w:spacing w:after="0" w:line="240" w:lineRule="auto"/>
        <w:ind w:left="-547"/>
        <w:rPr>
          <w:rFonts w:ascii="Arial" w:hAnsi="Arial" w:cs="Arial"/>
          <w:color w:val="000000"/>
        </w:rPr>
      </w:pPr>
    </w:p>
    <w:p w:rsidR="00A61AA8" w:rsidRPr="00D65ECF" w:rsidRDefault="00D65ECF" w:rsidP="00D65ECF">
      <w:pPr>
        <w:spacing w:after="0" w:line="240" w:lineRule="auto"/>
        <w:ind w:left="-547"/>
        <w:jc w:val="center"/>
        <w:rPr>
          <w:rFonts w:ascii="Arial" w:hAnsi="Arial" w:cs="Arial"/>
          <w:color w:val="000000"/>
        </w:rPr>
      </w:pPr>
      <w:r w:rsidRPr="00B77EC2">
        <w:rPr>
          <w:rFonts w:ascii="Arial" w:hAnsi="Arial" w:cs="Arial"/>
          <w:b/>
          <w:color w:val="000000"/>
        </w:rPr>
        <w:t>Advanced Placement (AP)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2250"/>
        <w:gridCol w:w="2790"/>
      </w:tblGrid>
      <w:tr w:rsidR="002E3BA1" w:rsidRPr="00B77EC2" w:rsidTr="00A61AA8">
        <w:trPr>
          <w:jc w:val="center"/>
        </w:trPr>
        <w:tc>
          <w:tcPr>
            <w:tcW w:w="900" w:type="dxa"/>
            <w:vAlign w:val="center"/>
          </w:tcPr>
          <w:p w:rsidR="002E3BA1" w:rsidRPr="00B77EC2" w:rsidRDefault="002E3BA1" w:rsidP="00B77EC2">
            <w:pPr>
              <w:pStyle w:val="BlockText"/>
              <w:spacing w:line="240" w:lineRule="auto"/>
              <w:ind w:left="0" w:right="0"/>
              <w:jc w:val="left"/>
              <w:rPr>
                <w:rFonts w:ascii="Arial" w:hAnsi="Arial" w:cs="Arial"/>
                <w:sz w:val="22"/>
                <w:szCs w:val="22"/>
              </w:rPr>
            </w:pPr>
          </w:p>
        </w:tc>
        <w:tc>
          <w:tcPr>
            <w:tcW w:w="270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Test-Takers</w:t>
            </w:r>
          </w:p>
        </w:tc>
        <w:tc>
          <w:tcPr>
            <w:tcW w:w="225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Tests</w:t>
            </w:r>
          </w:p>
        </w:tc>
        <w:tc>
          <w:tcPr>
            <w:tcW w:w="279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Scores 3-5</w:t>
            </w:r>
            <w:r w:rsidRPr="00B77EC2">
              <w:rPr>
                <w:rFonts w:ascii="Arial" w:hAnsi="Arial" w:cs="Arial"/>
                <w:b/>
                <w:bCs/>
                <w:sz w:val="22"/>
                <w:szCs w:val="22"/>
                <w:vertAlign w:val="superscript"/>
              </w:rPr>
              <w:t>1</w:t>
            </w:r>
          </w:p>
        </w:tc>
      </w:tr>
      <w:tr w:rsidR="002E3BA1" w:rsidRPr="00B77EC2" w:rsidTr="00A61AA8">
        <w:trPr>
          <w:trHeight w:val="143"/>
          <w:jc w:val="center"/>
        </w:trPr>
        <w:tc>
          <w:tcPr>
            <w:tcW w:w="90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2011</w:t>
            </w:r>
          </w:p>
        </w:tc>
        <w:tc>
          <w:tcPr>
            <w:tcW w:w="270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23,443</w:t>
            </w:r>
          </w:p>
        </w:tc>
        <w:tc>
          <w:tcPr>
            <w:tcW w:w="225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37,818</w:t>
            </w:r>
          </w:p>
        </w:tc>
        <w:tc>
          <w:tcPr>
            <w:tcW w:w="279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17,336</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2012</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26,451</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43,079</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20,264</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2013</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28,066</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45,419</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21,854</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2014</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30,133</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48,734</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23,519</w:t>
            </w:r>
          </w:p>
        </w:tc>
      </w:tr>
      <w:tr w:rsidR="002E3BA1" w:rsidRPr="00B77EC2" w:rsidTr="00A61AA8">
        <w:trPr>
          <w:trHeight w:val="143"/>
          <w:jc w:val="center"/>
        </w:trPr>
        <w:tc>
          <w:tcPr>
            <w:tcW w:w="900" w:type="dxa"/>
            <w:shd w:val="clear" w:color="auto" w:fill="D9D9D9"/>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2015</w:t>
            </w:r>
          </w:p>
        </w:tc>
        <w:tc>
          <w:tcPr>
            <w:tcW w:w="270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31,658</w:t>
            </w:r>
          </w:p>
        </w:tc>
        <w:tc>
          <w:tcPr>
            <w:tcW w:w="225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50,593</w:t>
            </w:r>
          </w:p>
        </w:tc>
        <w:tc>
          <w:tcPr>
            <w:tcW w:w="279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24,311</w:t>
            </w:r>
          </w:p>
        </w:tc>
      </w:tr>
    </w:tbl>
    <w:p w:rsidR="009D5F35" w:rsidRDefault="002E3BA1" w:rsidP="009D5F35">
      <w:pPr>
        <w:spacing w:after="0" w:line="240" w:lineRule="auto"/>
        <w:rPr>
          <w:rFonts w:ascii="Arial" w:hAnsi="Arial" w:cs="Arial"/>
          <w:sz w:val="20"/>
        </w:rPr>
      </w:pPr>
      <w:r w:rsidRPr="00A61AA8">
        <w:rPr>
          <w:rFonts w:ascii="Arial" w:hAnsi="Arial" w:cs="Arial"/>
          <w:b/>
          <w:sz w:val="20"/>
          <w:vertAlign w:val="superscript"/>
        </w:rPr>
        <w:t>1</w:t>
      </w:r>
      <w:r w:rsidRPr="00A61AA8">
        <w:rPr>
          <w:rFonts w:ascii="Arial" w:hAnsi="Arial" w:cs="Arial"/>
          <w:b/>
          <w:sz w:val="20"/>
        </w:rPr>
        <w:t xml:space="preserve"> </w:t>
      </w:r>
      <w:r w:rsidRPr="00A61AA8">
        <w:rPr>
          <w:rFonts w:ascii="Arial" w:hAnsi="Arial" w:cs="Arial"/>
          <w:sz w:val="20"/>
        </w:rPr>
        <w:t>Students must earn at least a 3 to earn college credit for the course. Five is the highest score possible.</w:t>
      </w:r>
    </w:p>
    <w:p w:rsidR="002E3BA1" w:rsidRPr="009D5F35" w:rsidRDefault="002E3BA1" w:rsidP="009D5F35">
      <w:pPr>
        <w:spacing w:after="0" w:line="240" w:lineRule="auto"/>
        <w:ind w:left="-540"/>
        <w:rPr>
          <w:rFonts w:ascii="Arial" w:hAnsi="Arial" w:cs="Arial"/>
          <w:sz w:val="20"/>
        </w:rPr>
      </w:pPr>
      <w:r w:rsidRPr="00B77EC2">
        <w:rPr>
          <w:rFonts w:ascii="Arial" w:hAnsi="Arial" w:cs="Arial"/>
        </w:rPr>
        <w:lastRenderedPageBreak/>
        <w:t xml:space="preserve">AdvanceKentucky is a statewide math-science initiative designed to expand access to, and participation and success in academically rigorous coursework such as AP classes. A total of 101 Kentucky public high schools in 74 districts have participated since its inception in 2008. </w:t>
      </w:r>
      <w:r w:rsidRPr="00B77EC2">
        <w:rPr>
          <w:rFonts w:ascii="Arial" w:hAnsi="Arial" w:cs="Arial"/>
          <w:b/>
        </w:rPr>
        <w:t xml:space="preserve">The AP participation and performance of various student groups in Kentucky’s public high schools has increased significantly </w:t>
      </w:r>
      <w:r w:rsidRPr="00B77EC2">
        <w:rPr>
          <w:rFonts w:ascii="Arial" w:hAnsi="Arial" w:cs="Arial"/>
        </w:rPr>
        <w:t>under AdvanceKentucky’s mission to engage many more students traditionally underrepresented in AP, including minority and low income students.</w:t>
      </w:r>
    </w:p>
    <w:p w:rsidR="00D94902" w:rsidRDefault="00D94902" w:rsidP="003858DD">
      <w:pPr>
        <w:spacing w:after="0" w:line="240" w:lineRule="auto"/>
        <w:ind w:left="-540"/>
        <w:rPr>
          <w:rFonts w:ascii="Arial" w:hAnsi="Arial" w:cs="Arial"/>
        </w:rPr>
      </w:pPr>
    </w:p>
    <w:p w:rsidR="00DE5B20" w:rsidRDefault="00DE5B20" w:rsidP="00B77EC2">
      <w:pPr>
        <w:spacing w:after="0" w:line="240" w:lineRule="auto"/>
        <w:ind w:left="-540"/>
        <w:rPr>
          <w:rFonts w:ascii="Arial" w:hAnsi="Arial" w:cs="Arial"/>
          <w:b/>
        </w:rPr>
      </w:pPr>
    </w:p>
    <w:p w:rsidR="002E3BA1" w:rsidRPr="00B77EC2" w:rsidRDefault="003858DD" w:rsidP="00B77EC2">
      <w:pPr>
        <w:spacing w:after="0" w:line="240" w:lineRule="auto"/>
        <w:ind w:left="-540"/>
        <w:rPr>
          <w:rFonts w:ascii="Arial" w:hAnsi="Arial" w:cs="Arial"/>
          <w:b/>
        </w:rPr>
      </w:pPr>
      <w:r w:rsidRPr="00B77EC2">
        <w:rPr>
          <w:rFonts w:ascii="Arial" w:hAnsi="Arial" w:cs="Arial"/>
          <w:b/>
        </w:rPr>
        <w:t>CAREER EDUCATION</w:t>
      </w:r>
      <w:r w:rsidR="002E3BA1" w:rsidRPr="00B77EC2">
        <w:rPr>
          <w:rFonts w:ascii="Arial" w:hAnsi="Arial" w:cs="Arial"/>
          <w:b/>
        </w:rPr>
        <w:br/>
      </w:r>
      <w:r w:rsidR="002E3BA1" w:rsidRPr="00B77EC2">
        <w:rPr>
          <w:rFonts w:ascii="Arial" w:hAnsi="Arial" w:cs="Arial"/>
        </w:rPr>
        <w:t>Kentucky has adopted a comprehensive plan to modernize Career and Technical Education with an emphasis on integration of rigorous academic standards, 21st-century skills (such as communication, collaboration, analytical ability, critical thinking and problem solving), project-based learning and the establishment of full-time career and technical education programs aligned with state and regional workforce needs. This effort</w:t>
      </w:r>
      <w:r w:rsidR="002E3BA1" w:rsidRPr="00B77EC2">
        <w:rPr>
          <w:rFonts w:ascii="Arial" w:hAnsi="Arial" w:cs="Arial"/>
          <w:b/>
        </w:rPr>
        <w:t xml:space="preserve"> </w:t>
      </w:r>
      <w:r w:rsidR="002E3BA1" w:rsidRPr="00B77EC2">
        <w:rPr>
          <w:rFonts w:ascii="Arial" w:hAnsi="Arial" w:cs="Arial"/>
        </w:rPr>
        <w:t>recognizes career and technical education as a viable pathway for students with the understanding that some sort of postsecondary training or education is normally required.</w:t>
      </w:r>
    </w:p>
    <w:p w:rsidR="002E3BA1" w:rsidRDefault="002E3BA1" w:rsidP="001D5CCF">
      <w:pPr>
        <w:spacing w:after="0" w:line="240" w:lineRule="auto"/>
        <w:rPr>
          <w:rFonts w:ascii="Arial" w:hAnsi="Arial" w:cs="Arial"/>
          <w:b/>
        </w:rPr>
      </w:pPr>
    </w:p>
    <w:p w:rsidR="001D5CCF" w:rsidRPr="00B77EC2" w:rsidRDefault="001D5CCF" w:rsidP="001D5CCF">
      <w:pPr>
        <w:spacing w:after="0" w:line="240" w:lineRule="auto"/>
        <w:rPr>
          <w:rFonts w:ascii="Arial" w:hAnsi="Arial" w:cs="Arial"/>
          <w:b/>
        </w:rPr>
      </w:pPr>
    </w:p>
    <w:p w:rsidR="002E3BA1" w:rsidRPr="00B77EC2" w:rsidRDefault="003858DD" w:rsidP="00B77EC2">
      <w:pPr>
        <w:spacing w:after="0" w:line="240" w:lineRule="auto"/>
        <w:ind w:left="-547"/>
        <w:rPr>
          <w:rFonts w:ascii="Arial" w:hAnsi="Arial" w:cs="Arial"/>
          <w:b/>
        </w:rPr>
      </w:pPr>
      <w:r w:rsidRPr="00B77EC2">
        <w:rPr>
          <w:rFonts w:ascii="Arial" w:hAnsi="Arial" w:cs="Arial"/>
          <w:b/>
        </w:rPr>
        <w:t>COLLEGE- AND CAREER-READINESS</w:t>
      </w:r>
    </w:p>
    <w:p w:rsidR="002E3BA1" w:rsidRDefault="002E3BA1" w:rsidP="00B77EC2">
      <w:pPr>
        <w:spacing w:after="0" w:line="240" w:lineRule="auto"/>
        <w:ind w:left="-540"/>
        <w:rPr>
          <w:rFonts w:ascii="Arial" w:hAnsi="Arial" w:cs="Arial"/>
          <w:b/>
        </w:rPr>
      </w:pPr>
      <w:r w:rsidRPr="00B77EC2">
        <w:rPr>
          <w:rFonts w:ascii="Arial" w:hAnsi="Arial" w:cs="Arial"/>
          <w:b/>
        </w:rPr>
        <w:t xml:space="preserve">In 2015, 66.8% of Kentucky public high school students graduated college- and/or career-ready. </w:t>
      </w:r>
    </w:p>
    <w:p w:rsidR="00D67555" w:rsidRPr="00B77EC2" w:rsidRDefault="00D67555" w:rsidP="00B77EC2">
      <w:pPr>
        <w:spacing w:after="0" w:line="240" w:lineRule="auto"/>
        <w:ind w:left="-540"/>
        <w:rPr>
          <w:rFonts w:ascii="Arial" w:hAnsi="Arial" w:cs="Arial"/>
          <w:b/>
        </w:rPr>
      </w:pPr>
    </w:p>
    <w:p w:rsidR="002E3BA1" w:rsidRPr="00B77EC2" w:rsidRDefault="002E3BA1" w:rsidP="00B77EC2">
      <w:pPr>
        <w:spacing w:after="0" w:line="240" w:lineRule="auto"/>
        <w:ind w:left="-540"/>
        <w:rPr>
          <w:rFonts w:ascii="Arial" w:hAnsi="Arial" w:cs="Arial"/>
        </w:rPr>
      </w:pPr>
      <w:r w:rsidRPr="00D67555">
        <w:rPr>
          <w:rFonts w:ascii="Arial" w:hAnsi="Arial" w:cs="Arial"/>
        </w:rPr>
        <w:t>College-ready</w:t>
      </w:r>
      <w:r w:rsidRPr="00B77EC2">
        <w:rPr>
          <w:rFonts w:ascii="Arial" w:hAnsi="Arial" w:cs="Arial"/>
          <w:b/>
        </w:rPr>
        <w:t xml:space="preserve"> </w:t>
      </w:r>
      <w:r w:rsidRPr="00B77EC2">
        <w:rPr>
          <w:rFonts w:ascii="Arial" w:hAnsi="Arial" w:cs="Arial"/>
        </w:rPr>
        <w:t xml:space="preserve">means students were prepared to take entry-level, credit-bearing, college classes </w:t>
      </w:r>
      <w:r w:rsidRPr="00B77EC2">
        <w:rPr>
          <w:rFonts w:ascii="Arial" w:hAnsi="Arial" w:cs="Arial"/>
        </w:rPr>
        <w:br/>
        <w:t xml:space="preserve">without remediation or additional coursework. </w:t>
      </w:r>
      <w:r w:rsidRPr="00B77EC2">
        <w:rPr>
          <w:rFonts w:ascii="Arial" w:hAnsi="Arial" w:cs="Arial"/>
        </w:rPr>
        <w:br/>
      </w:r>
      <w:r w:rsidRPr="00B77EC2">
        <w:rPr>
          <w:rFonts w:ascii="Arial" w:hAnsi="Arial" w:cs="Arial"/>
        </w:rPr>
        <w:br/>
      </w:r>
      <w:r w:rsidRPr="00D67555">
        <w:rPr>
          <w:rFonts w:ascii="Arial" w:hAnsi="Arial" w:cs="Arial"/>
        </w:rPr>
        <w:t>Career-ready</w:t>
      </w:r>
      <w:r w:rsidRPr="00B77EC2">
        <w:rPr>
          <w:rFonts w:ascii="Arial" w:hAnsi="Arial" w:cs="Arial"/>
          <w:b/>
        </w:rPr>
        <w:t xml:space="preserve"> </w:t>
      </w:r>
      <w:r w:rsidRPr="00B77EC2">
        <w:rPr>
          <w:rFonts w:ascii="Arial" w:hAnsi="Arial" w:cs="Arial"/>
        </w:rPr>
        <w:t>students earned</w:t>
      </w:r>
      <w:r w:rsidRPr="00B77EC2">
        <w:rPr>
          <w:rFonts w:ascii="Arial" w:hAnsi="Arial" w:cs="Arial"/>
          <w:b/>
        </w:rPr>
        <w:t xml:space="preserve"> </w:t>
      </w:r>
      <w:r w:rsidRPr="00B77EC2">
        <w:rPr>
          <w:rFonts w:ascii="Arial" w:hAnsi="Arial" w:cs="Arial"/>
          <w:color w:val="000000"/>
          <w:shd w:val="clear" w:color="auto" w:fill="FFFFFF"/>
        </w:rPr>
        <w:t xml:space="preserve">an Industry-Recognized Career Certificate or a passing score on a </w:t>
      </w:r>
      <w:r w:rsidRPr="00B77EC2">
        <w:rPr>
          <w:rFonts w:ascii="Arial" w:hAnsi="Arial" w:cs="Arial"/>
          <w:color w:val="000000"/>
          <w:shd w:val="clear" w:color="auto" w:fill="FFFFFF"/>
        </w:rPr>
        <w:br/>
        <w:t xml:space="preserve">Kentucky Occupational Skills Standards Assessment, aligned to a Career and Technical Education Career Pathway. </w:t>
      </w:r>
    </w:p>
    <w:p w:rsidR="00586C85" w:rsidRDefault="00586C85" w:rsidP="00B77EC2">
      <w:pPr>
        <w:tabs>
          <w:tab w:val="left" w:pos="1800"/>
        </w:tabs>
        <w:spacing w:after="0" w:line="240" w:lineRule="auto"/>
        <w:ind w:left="-547"/>
        <w:rPr>
          <w:rFonts w:ascii="Arial" w:hAnsi="Arial" w:cs="Arial"/>
          <w:color w:val="29303B"/>
        </w:rPr>
      </w:pPr>
    </w:p>
    <w:p w:rsidR="002E3BA1" w:rsidRPr="00B77EC2" w:rsidRDefault="002E3BA1" w:rsidP="00B77EC2">
      <w:pPr>
        <w:tabs>
          <w:tab w:val="left" w:pos="1800"/>
        </w:tabs>
        <w:spacing w:after="0" w:line="240" w:lineRule="auto"/>
        <w:ind w:left="-547"/>
        <w:rPr>
          <w:rFonts w:ascii="Arial" w:hAnsi="Arial" w:cs="Arial"/>
          <w:color w:val="29303B"/>
        </w:rPr>
      </w:pPr>
      <w:r w:rsidRPr="00B77EC2">
        <w:rPr>
          <w:rFonts w:ascii="Arial" w:hAnsi="Arial" w:cs="Arial"/>
          <w:color w:val="29303B"/>
        </w:rPr>
        <w:t xml:space="preserve">According to the Kentucky Center for Education and Workforce Statistics, </w:t>
      </w:r>
      <w:r w:rsidRPr="00EA62CC">
        <w:rPr>
          <w:rFonts w:ascii="Arial" w:hAnsi="Arial" w:cs="Arial"/>
          <w:b/>
          <w:color w:val="29303B"/>
        </w:rPr>
        <w:t>students who graduate from high school having reached the Kentucky college/career-readiness benchmarks realize more success their first year in college than those who are not</w:t>
      </w:r>
      <w:r w:rsidRPr="00B77EC2">
        <w:rPr>
          <w:rFonts w:ascii="Arial" w:hAnsi="Arial" w:cs="Arial"/>
          <w:color w:val="29303B"/>
        </w:rPr>
        <w:t>.</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have a higher GPA – 2.6 versus 1.7.</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complete more college hours – 22 versus 11.</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return for a second year of postsecondary at higher rates –85 percent versus 65 percent.</w:t>
      </w:r>
    </w:p>
    <w:p w:rsidR="002E3BA1" w:rsidRPr="00B77EC2" w:rsidRDefault="002E3BA1" w:rsidP="009727C8">
      <w:pPr>
        <w:spacing w:after="0" w:line="240" w:lineRule="auto"/>
        <w:ind w:left="360" w:hanging="360"/>
        <w:rPr>
          <w:rFonts w:ascii="Arial" w:hAnsi="Arial" w:cs="Arial"/>
          <w:b/>
        </w:rPr>
      </w:pPr>
    </w:p>
    <w:p w:rsidR="002E3BA1" w:rsidRPr="00B77EC2" w:rsidRDefault="002E3BA1" w:rsidP="00B77EC2">
      <w:pPr>
        <w:spacing w:after="0" w:line="240" w:lineRule="auto"/>
        <w:ind w:left="-540"/>
        <w:rPr>
          <w:rFonts w:ascii="Arial" w:hAnsi="Arial" w:cs="Arial"/>
        </w:rPr>
      </w:pPr>
    </w:p>
    <w:p w:rsidR="00597013" w:rsidRPr="00597013" w:rsidRDefault="001D5CCF" w:rsidP="00D91F38">
      <w:pPr>
        <w:spacing w:after="0" w:line="240" w:lineRule="auto"/>
        <w:ind w:left="-540"/>
        <w:rPr>
          <w:rStyle w:val="Strong"/>
          <w:rFonts w:ascii="Arial" w:hAnsi="Arial" w:cs="Arial"/>
          <w:shd w:val="clear" w:color="auto" w:fill="FFFFFF"/>
        </w:rPr>
      </w:pPr>
      <w:r w:rsidRPr="00597013">
        <w:rPr>
          <w:rStyle w:val="Strong"/>
          <w:rFonts w:ascii="Arial" w:hAnsi="Arial" w:cs="Arial"/>
          <w:shd w:val="clear" w:color="auto" w:fill="FFFFFF"/>
        </w:rPr>
        <w:t>SCHOOL IMPROVEMENT</w:t>
      </w:r>
    </w:p>
    <w:p w:rsidR="00953C85" w:rsidRPr="00953C85" w:rsidRDefault="00597013" w:rsidP="009727C8">
      <w:pPr>
        <w:pStyle w:val="ListParagraph"/>
        <w:numPr>
          <w:ilvl w:val="0"/>
          <w:numId w:val="6"/>
        </w:numPr>
        <w:spacing w:after="0" w:line="240" w:lineRule="auto"/>
        <w:ind w:left="360"/>
        <w:rPr>
          <w:rStyle w:val="Strong"/>
          <w:rFonts w:ascii="Arial" w:hAnsi="Arial" w:cs="Arial"/>
          <w:b w:val="0"/>
          <w:shd w:val="clear" w:color="auto" w:fill="FFFFFF"/>
        </w:rPr>
      </w:pPr>
      <w:r w:rsidRPr="00953C85">
        <w:rPr>
          <w:rStyle w:val="Strong"/>
          <w:rFonts w:ascii="Arial" w:hAnsi="Arial" w:cs="Arial"/>
          <w:b w:val="0"/>
          <w:shd w:val="clear" w:color="auto" w:fill="FFFFFF"/>
        </w:rPr>
        <w:t>M</w:t>
      </w:r>
      <w:r w:rsidR="00C51B51" w:rsidRPr="00953C85">
        <w:rPr>
          <w:rStyle w:val="Strong"/>
          <w:rFonts w:ascii="Arial" w:hAnsi="Arial" w:cs="Arial"/>
          <w:b w:val="0"/>
          <w:shd w:val="clear" w:color="auto" w:fill="FFFFFF"/>
        </w:rPr>
        <w:t>ore than 44,900 Kentucky educators (89</w:t>
      </w:r>
      <w:r w:rsidRPr="00953C85">
        <w:rPr>
          <w:rStyle w:val="Strong"/>
          <w:rFonts w:ascii="Arial" w:hAnsi="Arial" w:cs="Arial"/>
          <w:b w:val="0"/>
          <w:shd w:val="clear" w:color="auto" w:fill="FFFFFF"/>
        </w:rPr>
        <w:t xml:space="preserve"> percent</w:t>
      </w:r>
      <w:r w:rsidR="00C51B51" w:rsidRPr="00953C85">
        <w:rPr>
          <w:rStyle w:val="Strong"/>
          <w:rFonts w:ascii="Arial" w:hAnsi="Arial" w:cs="Arial"/>
          <w:b w:val="0"/>
          <w:shd w:val="clear" w:color="auto" w:fill="FFFFFF"/>
        </w:rPr>
        <w:t>) completed the 2015 TELL Kentucky Survey</w:t>
      </w:r>
      <w:r w:rsidR="00953C85" w:rsidRPr="00953C85">
        <w:rPr>
          <w:rStyle w:val="Strong"/>
          <w:rFonts w:ascii="Arial" w:hAnsi="Arial" w:cs="Arial"/>
          <w:b w:val="0"/>
          <w:shd w:val="clear" w:color="auto" w:fill="FFFFFF"/>
        </w:rPr>
        <w:t xml:space="preserve"> which includes questions in the areas of:</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Community Engagement and Support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Teacher Leadership</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School Leadership</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Managing Student Conduct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Use of Time</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Professional Development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Facilities and Resources</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Instructional Practices and Support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New Teacher Support</w:t>
      </w:r>
    </w:p>
    <w:p w:rsidR="00A920D7" w:rsidRPr="00953C85" w:rsidRDefault="00C51B51" w:rsidP="009727C8">
      <w:pPr>
        <w:pStyle w:val="ListParagraph"/>
        <w:numPr>
          <w:ilvl w:val="0"/>
          <w:numId w:val="6"/>
        </w:numPr>
        <w:spacing w:after="0" w:line="240" w:lineRule="auto"/>
        <w:ind w:left="360"/>
        <w:rPr>
          <w:rStyle w:val="Strong"/>
          <w:rFonts w:ascii="Arial" w:hAnsi="Arial" w:cs="Arial"/>
          <w:b w:val="0"/>
          <w:shd w:val="clear" w:color="auto" w:fill="FFFFFF"/>
        </w:rPr>
      </w:pPr>
      <w:r w:rsidRPr="00953C85">
        <w:rPr>
          <w:rStyle w:val="Strong"/>
          <w:rFonts w:ascii="Arial" w:hAnsi="Arial" w:cs="Arial"/>
          <w:b w:val="0"/>
          <w:shd w:val="clear" w:color="auto" w:fill="FFFFFF"/>
        </w:rPr>
        <w:t>Their opinions will help inform improvement plans</w:t>
      </w:r>
      <w:r w:rsidR="00597013" w:rsidRPr="00953C85">
        <w:rPr>
          <w:rStyle w:val="Strong"/>
          <w:rFonts w:ascii="Arial" w:hAnsi="Arial" w:cs="Arial"/>
          <w:b w:val="0"/>
          <w:shd w:val="clear" w:color="auto" w:fill="FFFFFF"/>
        </w:rPr>
        <w:t xml:space="preserve"> in schools and districts across the state and guide policy decisions at the state level</w:t>
      </w:r>
      <w:r w:rsidRPr="00953C85">
        <w:rPr>
          <w:rStyle w:val="Strong"/>
          <w:rFonts w:ascii="Arial" w:hAnsi="Arial" w:cs="Arial"/>
          <w:b w:val="0"/>
          <w:shd w:val="clear" w:color="auto" w:fill="FFFFFF"/>
        </w:rPr>
        <w:t>.</w:t>
      </w:r>
    </w:p>
    <w:p w:rsidR="00BB44B8" w:rsidRDefault="00BB44B8" w:rsidP="009727C8">
      <w:pPr>
        <w:spacing w:after="0" w:line="240" w:lineRule="auto"/>
        <w:ind w:left="360" w:hanging="360"/>
        <w:rPr>
          <w:rStyle w:val="Strong"/>
          <w:rFonts w:ascii="Arial" w:hAnsi="Arial" w:cs="Arial"/>
          <w:b w:val="0"/>
          <w:shd w:val="clear" w:color="auto" w:fill="FFFFFF"/>
        </w:rPr>
      </w:pPr>
    </w:p>
    <w:p w:rsidR="00BB44B8" w:rsidRDefault="00BB44B8" w:rsidP="009727C8">
      <w:pPr>
        <w:pStyle w:val="ListParagraph"/>
        <w:numPr>
          <w:ilvl w:val="0"/>
          <w:numId w:val="6"/>
        </w:numPr>
        <w:spacing w:line="256" w:lineRule="auto"/>
        <w:ind w:left="360"/>
        <w:rPr>
          <w:rFonts w:ascii="Arial" w:hAnsi="Arial" w:cs="Arial"/>
        </w:rPr>
      </w:pPr>
      <w:r w:rsidRPr="00BB44B8">
        <w:rPr>
          <w:rFonts w:ascii="Arial" w:hAnsi="Arial" w:cs="Arial"/>
        </w:rPr>
        <w:t>Of the 36 Priority Schools assessed during the 2014-15 school year, 11 schools exited Priority status, four scored in the Distinguished category, nine scored in the Proficient category and nine were categorized as Progressing.</w:t>
      </w:r>
    </w:p>
    <w:sectPr w:rsidR="00BB44B8" w:rsidSect="00667C66">
      <w:footerReference w:type="default" r:id="rId30"/>
      <w:pgSz w:w="12240" w:h="15840"/>
      <w:pgMar w:top="1152"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01" w:rsidRDefault="002D3201" w:rsidP="005045F7">
      <w:pPr>
        <w:spacing w:after="0" w:line="240" w:lineRule="auto"/>
      </w:pPr>
      <w:r>
        <w:separator/>
      </w:r>
    </w:p>
  </w:endnote>
  <w:endnote w:type="continuationSeparator" w:id="0">
    <w:p w:rsidR="002D3201" w:rsidRDefault="002D3201" w:rsidP="0050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80405"/>
      <w:docPartObj>
        <w:docPartGallery w:val="Page Numbers (Bottom of Page)"/>
        <w:docPartUnique/>
      </w:docPartObj>
    </w:sdtPr>
    <w:sdtEndPr>
      <w:rPr>
        <w:noProof/>
      </w:rPr>
    </w:sdtEndPr>
    <w:sdtContent>
      <w:p w:rsidR="00344AC4" w:rsidRDefault="00344AC4">
        <w:pPr>
          <w:pStyle w:val="Footer"/>
          <w:jc w:val="right"/>
        </w:pPr>
      </w:p>
      <w:p w:rsidR="00344AC4" w:rsidRDefault="00344AC4" w:rsidP="007548C9">
        <w:pPr>
          <w:pStyle w:val="Footer"/>
          <w:jc w:val="right"/>
        </w:pPr>
        <w:r>
          <w:t>KDE:OGSS:DC:</w:t>
        </w:r>
        <w:r w:rsidR="00040C3B">
          <w:t>rsb</w:t>
        </w:r>
        <w:r>
          <w:t xml:space="preserve"> </w:t>
        </w:r>
        <w:r>
          <w:tab/>
          <w:t>1/10/16</w:t>
        </w:r>
        <w:r>
          <w:tab/>
        </w:r>
        <w:r>
          <w:fldChar w:fldCharType="begin"/>
        </w:r>
        <w:r>
          <w:instrText xml:space="preserve"> PAGE   \* MERGEFORMAT </w:instrText>
        </w:r>
        <w:r>
          <w:fldChar w:fldCharType="separate"/>
        </w:r>
        <w:r w:rsidR="00040C3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01" w:rsidRDefault="002D3201" w:rsidP="005045F7">
      <w:pPr>
        <w:spacing w:after="0" w:line="240" w:lineRule="auto"/>
      </w:pPr>
      <w:r>
        <w:separator/>
      </w:r>
    </w:p>
  </w:footnote>
  <w:footnote w:type="continuationSeparator" w:id="0">
    <w:p w:rsidR="002D3201" w:rsidRDefault="002D3201" w:rsidP="0050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898"/>
    <w:multiLevelType w:val="hybridMultilevel"/>
    <w:tmpl w:val="58E0E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9C6ED6"/>
    <w:multiLevelType w:val="hybridMultilevel"/>
    <w:tmpl w:val="966AE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D36173"/>
    <w:multiLevelType w:val="hybridMultilevel"/>
    <w:tmpl w:val="67E88E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2B92ADA"/>
    <w:multiLevelType w:val="hybridMultilevel"/>
    <w:tmpl w:val="708AB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753C"/>
    <w:multiLevelType w:val="hybridMultilevel"/>
    <w:tmpl w:val="A95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035"/>
    <w:multiLevelType w:val="multilevel"/>
    <w:tmpl w:val="551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67ADB"/>
    <w:multiLevelType w:val="hybridMultilevel"/>
    <w:tmpl w:val="90AA564C"/>
    <w:lvl w:ilvl="0" w:tplc="A4A0FB26">
      <w:start w:val="43"/>
      <w:numFmt w:val="bullet"/>
      <w:lvlText w:val="•"/>
      <w:lvlJc w:val="left"/>
      <w:pPr>
        <w:ind w:left="-180" w:hanging="360"/>
      </w:pPr>
      <w:rPr>
        <w:rFonts w:ascii="Arial" w:eastAsiaTheme="minorHAnsi" w:hAnsi="Aria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5BF456C1"/>
    <w:multiLevelType w:val="hybridMultilevel"/>
    <w:tmpl w:val="A32095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FBF42BD"/>
    <w:multiLevelType w:val="hybridMultilevel"/>
    <w:tmpl w:val="395856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6A72E85"/>
    <w:multiLevelType w:val="hybridMultilevel"/>
    <w:tmpl w:val="E11A68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A1"/>
    <w:rsid w:val="00003328"/>
    <w:rsid w:val="000059DE"/>
    <w:rsid w:val="00007C85"/>
    <w:rsid w:val="0001002D"/>
    <w:rsid w:val="00014021"/>
    <w:rsid w:val="000235C5"/>
    <w:rsid w:val="00026065"/>
    <w:rsid w:val="00027192"/>
    <w:rsid w:val="0002781A"/>
    <w:rsid w:val="000308E1"/>
    <w:rsid w:val="00040C3B"/>
    <w:rsid w:val="00041E00"/>
    <w:rsid w:val="00050A94"/>
    <w:rsid w:val="00072AE2"/>
    <w:rsid w:val="000779D9"/>
    <w:rsid w:val="00097D45"/>
    <w:rsid w:val="000A2985"/>
    <w:rsid w:val="000B36A7"/>
    <w:rsid w:val="000B7304"/>
    <w:rsid w:val="000C6F67"/>
    <w:rsid w:val="000D2F05"/>
    <w:rsid w:val="00114244"/>
    <w:rsid w:val="0012536A"/>
    <w:rsid w:val="00131654"/>
    <w:rsid w:val="0013226E"/>
    <w:rsid w:val="0014242F"/>
    <w:rsid w:val="00143028"/>
    <w:rsid w:val="00154277"/>
    <w:rsid w:val="001665CA"/>
    <w:rsid w:val="001779AC"/>
    <w:rsid w:val="001B3DA0"/>
    <w:rsid w:val="001C3578"/>
    <w:rsid w:val="001D5BEB"/>
    <w:rsid w:val="001D5CCF"/>
    <w:rsid w:val="00202EDF"/>
    <w:rsid w:val="00204910"/>
    <w:rsid w:val="002073EB"/>
    <w:rsid w:val="00220C76"/>
    <w:rsid w:val="00223F0B"/>
    <w:rsid w:val="00255A98"/>
    <w:rsid w:val="002569F3"/>
    <w:rsid w:val="00257F6F"/>
    <w:rsid w:val="00280C11"/>
    <w:rsid w:val="002A7C67"/>
    <w:rsid w:val="002B0E72"/>
    <w:rsid w:val="002B5DEC"/>
    <w:rsid w:val="002C6655"/>
    <w:rsid w:val="002D3201"/>
    <w:rsid w:val="002E3243"/>
    <w:rsid w:val="002E3BA1"/>
    <w:rsid w:val="002E7F51"/>
    <w:rsid w:val="00311BD9"/>
    <w:rsid w:val="00341BE8"/>
    <w:rsid w:val="00344AC4"/>
    <w:rsid w:val="0035304F"/>
    <w:rsid w:val="0038529A"/>
    <w:rsid w:val="003858DD"/>
    <w:rsid w:val="003C4A39"/>
    <w:rsid w:val="003C711E"/>
    <w:rsid w:val="003D2AE9"/>
    <w:rsid w:val="00404706"/>
    <w:rsid w:val="0042302B"/>
    <w:rsid w:val="00423C25"/>
    <w:rsid w:val="004431E1"/>
    <w:rsid w:val="004506B1"/>
    <w:rsid w:val="00450F26"/>
    <w:rsid w:val="0045430B"/>
    <w:rsid w:val="004578C3"/>
    <w:rsid w:val="00476F9E"/>
    <w:rsid w:val="004A11A8"/>
    <w:rsid w:val="004A589E"/>
    <w:rsid w:val="004A6691"/>
    <w:rsid w:val="004B6E24"/>
    <w:rsid w:val="004C09DE"/>
    <w:rsid w:val="005045F7"/>
    <w:rsid w:val="00505BE6"/>
    <w:rsid w:val="00524478"/>
    <w:rsid w:val="005254A5"/>
    <w:rsid w:val="005815B5"/>
    <w:rsid w:val="00586C85"/>
    <w:rsid w:val="005914D5"/>
    <w:rsid w:val="0059672F"/>
    <w:rsid w:val="00597013"/>
    <w:rsid w:val="005A4775"/>
    <w:rsid w:val="005B0851"/>
    <w:rsid w:val="005B1B73"/>
    <w:rsid w:val="005B5D90"/>
    <w:rsid w:val="005C4987"/>
    <w:rsid w:val="005F5311"/>
    <w:rsid w:val="005F598C"/>
    <w:rsid w:val="00626524"/>
    <w:rsid w:val="00626629"/>
    <w:rsid w:val="00647770"/>
    <w:rsid w:val="0065553B"/>
    <w:rsid w:val="0066178D"/>
    <w:rsid w:val="00667C66"/>
    <w:rsid w:val="00677FEF"/>
    <w:rsid w:val="0069470B"/>
    <w:rsid w:val="006A6A31"/>
    <w:rsid w:val="006B307F"/>
    <w:rsid w:val="006B4501"/>
    <w:rsid w:val="006B5DF5"/>
    <w:rsid w:val="006C2933"/>
    <w:rsid w:val="006D244A"/>
    <w:rsid w:val="006D2551"/>
    <w:rsid w:val="006F4291"/>
    <w:rsid w:val="00702F8F"/>
    <w:rsid w:val="007129FA"/>
    <w:rsid w:val="00737D86"/>
    <w:rsid w:val="007548C9"/>
    <w:rsid w:val="00765D92"/>
    <w:rsid w:val="0078494B"/>
    <w:rsid w:val="007B02A1"/>
    <w:rsid w:val="007B627D"/>
    <w:rsid w:val="007C1F5C"/>
    <w:rsid w:val="008056D3"/>
    <w:rsid w:val="00815E88"/>
    <w:rsid w:val="008309A0"/>
    <w:rsid w:val="008371EA"/>
    <w:rsid w:val="008507AF"/>
    <w:rsid w:val="00854046"/>
    <w:rsid w:val="008634D2"/>
    <w:rsid w:val="00871C6F"/>
    <w:rsid w:val="0089188D"/>
    <w:rsid w:val="008B6517"/>
    <w:rsid w:val="008C5EEE"/>
    <w:rsid w:val="008E00CD"/>
    <w:rsid w:val="008E1F2D"/>
    <w:rsid w:val="008E3445"/>
    <w:rsid w:val="008F06B6"/>
    <w:rsid w:val="009348A7"/>
    <w:rsid w:val="00944DAD"/>
    <w:rsid w:val="00953C85"/>
    <w:rsid w:val="00962AC5"/>
    <w:rsid w:val="0097215F"/>
    <w:rsid w:val="009727C8"/>
    <w:rsid w:val="009A7399"/>
    <w:rsid w:val="009B0B5D"/>
    <w:rsid w:val="009B12C4"/>
    <w:rsid w:val="009D3DB7"/>
    <w:rsid w:val="009D5F35"/>
    <w:rsid w:val="009F1B97"/>
    <w:rsid w:val="009F380B"/>
    <w:rsid w:val="009F7B70"/>
    <w:rsid w:val="00A020A1"/>
    <w:rsid w:val="00A25F58"/>
    <w:rsid w:val="00A260FF"/>
    <w:rsid w:val="00A30D5B"/>
    <w:rsid w:val="00A61AA8"/>
    <w:rsid w:val="00A65CAC"/>
    <w:rsid w:val="00A920D7"/>
    <w:rsid w:val="00A930C6"/>
    <w:rsid w:val="00AB7680"/>
    <w:rsid w:val="00AC3373"/>
    <w:rsid w:val="00AD0993"/>
    <w:rsid w:val="00AE4C15"/>
    <w:rsid w:val="00AF3406"/>
    <w:rsid w:val="00B127BE"/>
    <w:rsid w:val="00B15116"/>
    <w:rsid w:val="00B30AB8"/>
    <w:rsid w:val="00B53299"/>
    <w:rsid w:val="00B77EC2"/>
    <w:rsid w:val="00BB44B8"/>
    <w:rsid w:val="00C133D3"/>
    <w:rsid w:val="00C218CE"/>
    <w:rsid w:val="00C23D33"/>
    <w:rsid w:val="00C2499A"/>
    <w:rsid w:val="00C25385"/>
    <w:rsid w:val="00C50DFF"/>
    <w:rsid w:val="00C51B51"/>
    <w:rsid w:val="00C57AFD"/>
    <w:rsid w:val="00C6088C"/>
    <w:rsid w:val="00C85E37"/>
    <w:rsid w:val="00C86E9F"/>
    <w:rsid w:val="00C900C9"/>
    <w:rsid w:val="00C9128D"/>
    <w:rsid w:val="00CB2808"/>
    <w:rsid w:val="00CC011B"/>
    <w:rsid w:val="00CF68E7"/>
    <w:rsid w:val="00D114A8"/>
    <w:rsid w:val="00D34DB2"/>
    <w:rsid w:val="00D45939"/>
    <w:rsid w:val="00D5288C"/>
    <w:rsid w:val="00D65ECF"/>
    <w:rsid w:val="00D67555"/>
    <w:rsid w:val="00D737DD"/>
    <w:rsid w:val="00D91F38"/>
    <w:rsid w:val="00D94902"/>
    <w:rsid w:val="00DB0AF7"/>
    <w:rsid w:val="00DB482D"/>
    <w:rsid w:val="00DD0250"/>
    <w:rsid w:val="00DD46CB"/>
    <w:rsid w:val="00DE4DEB"/>
    <w:rsid w:val="00DE5B20"/>
    <w:rsid w:val="00DF5AFF"/>
    <w:rsid w:val="00E01EBB"/>
    <w:rsid w:val="00E11B87"/>
    <w:rsid w:val="00E73EA9"/>
    <w:rsid w:val="00E8246A"/>
    <w:rsid w:val="00EA62CC"/>
    <w:rsid w:val="00EB2A98"/>
    <w:rsid w:val="00EC418E"/>
    <w:rsid w:val="00EC6D87"/>
    <w:rsid w:val="00EE6A0B"/>
    <w:rsid w:val="00EF6F78"/>
    <w:rsid w:val="00F113BA"/>
    <w:rsid w:val="00F113F8"/>
    <w:rsid w:val="00F17F75"/>
    <w:rsid w:val="00F33AB9"/>
    <w:rsid w:val="00F40426"/>
    <w:rsid w:val="00F45586"/>
    <w:rsid w:val="00F50C4C"/>
    <w:rsid w:val="00F528BC"/>
    <w:rsid w:val="00F55138"/>
    <w:rsid w:val="00F92946"/>
    <w:rsid w:val="00F950A4"/>
    <w:rsid w:val="00FA4044"/>
    <w:rsid w:val="00FB655D"/>
    <w:rsid w:val="00FC2116"/>
    <w:rsid w:val="00FD0A73"/>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F440-8A92-48C1-A428-61278DD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A1"/>
    <w:pPr>
      <w:ind w:left="720"/>
      <w:contextualSpacing/>
    </w:pPr>
  </w:style>
  <w:style w:type="paragraph" w:styleId="BlockText">
    <w:name w:val="Block Text"/>
    <w:basedOn w:val="Normal"/>
    <w:rsid w:val="002E3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630" w:right="-720"/>
      <w:jc w:val="both"/>
    </w:pPr>
    <w:rPr>
      <w:rFonts w:ascii="Helvetica" w:eastAsia="Times New Roman" w:hAnsi="Helvetica" w:cs="Times New Roman"/>
      <w:color w:val="000000"/>
      <w:sz w:val="24"/>
      <w:szCs w:val="20"/>
    </w:rPr>
  </w:style>
  <w:style w:type="character" w:styleId="Strong">
    <w:name w:val="Strong"/>
    <w:uiPriority w:val="22"/>
    <w:qFormat/>
    <w:rsid w:val="002E3BA1"/>
    <w:rPr>
      <w:b/>
      <w:bCs/>
    </w:rPr>
  </w:style>
  <w:style w:type="paragraph" w:customStyle="1" w:styleId="Default">
    <w:name w:val="Default"/>
    <w:rsid w:val="00CF68E7"/>
    <w:pPr>
      <w:autoSpaceDE w:val="0"/>
      <w:autoSpaceDN w:val="0"/>
      <w:adjustRightInd w:val="0"/>
      <w:spacing w:after="0" w:line="240" w:lineRule="auto"/>
    </w:pPr>
    <w:rPr>
      <w:rFonts w:ascii="TimesNewRoman,BoldItalic" w:eastAsia="Times New Roman" w:hAnsi="TimesNewRoman,BoldItalic" w:cs="Times New Roman"/>
      <w:sz w:val="20"/>
      <w:szCs w:val="20"/>
    </w:rPr>
  </w:style>
  <w:style w:type="character" w:styleId="Hyperlink">
    <w:name w:val="Hyperlink"/>
    <w:uiPriority w:val="99"/>
    <w:rsid w:val="00B77EC2"/>
    <w:rPr>
      <w:color w:val="0000FF"/>
      <w:u w:val="single"/>
    </w:rPr>
  </w:style>
  <w:style w:type="character" w:styleId="FollowedHyperlink">
    <w:name w:val="FollowedHyperlink"/>
    <w:basedOn w:val="DefaultParagraphFont"/>
    <w:uiPriority w:val="99"/>
    <w:semiHidden/>
    <w:unhideWhenUsed/>
    <w:rsid w:val="006C2933"/>
    <w:rPr>
      <w:color w:val="954F72" w:themeColor="followedHyperlink"/>
      <w:u w:val="single"/>
    </w:rPr>
  </w:style>
  <w:style w:type="paragraph" w:styleId="Header">
    <w:name w:val="header"/>
    <w:basedOn w:val="Normal"/>
    <w:link w:val="HeaderChar"/>
    <w:uiPriority w:val="99"/>
    <w:unhideWhenUsed/>
    <w:rsid w:val="0050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F7"/>
  </w:style>
  <w:style w:type="paragraph" w:styleId="Footer">
    <w:name w:val="footer"/>
    <w:basedOn w:val="Normal"/>
    <w:link w:val="FooterChar"/>
    <w:uiPriority w:val="99"/>
    <w:unhideWhenUsed/>
    <w:rsid w:val="0050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F7"/>
  </w:style>
  <w:style w:type="character" w:customStyle="1" w:styleId="apple-converted-space">
    <w:name w:val="apple-converted-space"/>
    <w:basedOn w:val="DefaultParagraphFont"/>
    <w:rsid w:val="004A6691"/>
  </w:style>
  <w:style w:type="table" w:styleId="TableGrid">
    <w:name w:val="Table Grid"/>
    <w:basedOn w:val="TableNormal"/>
    <w:uiPriority w:val="39"/>
    <w:rsid w:val="00F1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0236">
      <w:bodyDiv w:val="1"/>
      <w:marLeft w:val="0"/>
      <w:marRight w:val="0"/>
      <w:marTop w:val="0"/>
      <w:marBottom w:val="0"/>
      <w:divBdr>
        <w:top w:val="none" w:sz="0" w:space="0" w:color="auto"/>
        <w:left w:val="none" w:sz="0" w:space="0" w:color="auto"/>
        <w:bottom w:val="none" w:sz="0" w:space="0" w:color="auto"/>
        <w:right w:val="none" w:sz="0" w:space="0" w:color="auto"/>
      </w:divBdr>
    </w:div>
    <w:div w:id="1545020172">
      <w:bodyDiv w:val="1"/>
      <w:marLeft w:val="0"/>
      <w:marRight w:val="0"/>
      <w:marTop w:val="0"/>
      <w:marBottom w:val="0"/>
      <w:divBdr>
        <w:top w:val="none" w:sz="0" w:space="0" w:color="auto"/>
        <w:left w:val="none" w:sz="0" w:space="0" w:color="auto"/>
        <w:bottom w:val="none" w:sz="0" w:space="0" w:color="auto"/>
        <w:right w:val="none" w:sz="0" w:space="0" w:color="auto"/>
      </w:divBdr>
      <w:divsChild>
        <w:div w:id="83690283">
          <w:marLeft w:val="0"/>
          <w:marRight w:val="0"/>
          <w:marTop w:val="0"/>
          <w:marBottom w:val="0"/>
          <w:divBdr>
            <w:top w:val="none" w:sz="0" w:space="0" w:color="auto"/>
            <w:left w:val="none" w:sz="0" w:space="0" w:color="auto"/>
            <w:bottom w:val="none" w:sz="0" w:space="0" w:color="auto"/>
            <w:right w:val="none" w:sz="0" w:space="0" w:color="auto"/>
          </w:divBdr>
        </w:div>
        <w:div w:id="314726415">
          <w:marLeft w:val="0"/>
          <w:marRight w:val="0"/>
          <w:marTop w:val="0"/>
          <w:marBottom w:val="0"/>
          <w:divBdr>
            <w:top w:val="none" w:sz="0" w:space="0" w:color="auto"/>
            <w:left w:val="none" w:sz="0" w:space="0" w:color="auto"/>
            <w:bottom w:val="none" w:sz="0" w:space="0" w:color="auto"/>
            <w:right w:val="none" w:sz="0" w:space="0" w:color="auto"/>
          </w:divBdr>
        </w:div>
        <w:div w:id="1277252906">
          <w:marLeft w:val="0"/>
          <w:marRight w:val="0"/>
          <w:marTop w:val="0"/>
          <w:marBottom w:val="0"/>
          <w:divBdr>
            <w:top w:val="none" w:sz="0" w:space="0" w:color="auto"/>
            <w:left w:val="none" w:sz="0" w:space="0" w:color="auto"/>
            <w:bottom w:val="none" w:sz="0" w:space="0" w:color="auto"/>
            <w:right w:val="none" w:sz="0" w:space="0" w:color="auto"/>
          </w:divBdr>
        </w:div>
        <w:div w:id="1341741116">
          <w:marLeft w:val="0"/>
          <w:marRight w:val="0"/>
          <w:marTop w:val="0"/>
          <w:marBottom w:val="0"/>
          <w:divBdr>
            <w:top w:val="none" w:sz="0" w:space="0" w:color="auto"/>
            <w:left w:val="none" w:sz="0" w:space="0" w:color="auto"/>
            <w:bottom w:val="none" w:sz="0" w:space="0" w:color="auto"/>
            <w:right w:val="none" w:sz="0" w:space="0" w:color="auto"/>
          </w:divBdr>
        </w:div>
        <w:div w:id="287859204">
          <w:marLeft w:val="0"/>
          <w:marRight w:val="0"/>
          <w:marTop w:val="0"/>
          <w:marBottom w:val="0"/>
          <w:divBdr>
            <w:top w:val="none" w:sz="0" w:space="0" w:color="auto"/>
            <w:left w:val="none" w:sz="0" w:space="0" w:color="auto"/>
            <w:bottom w:val="none" w:sz="0" w:space="0" w:color="auto"/>
            <w:right w:val="none" w:sz="0" w:space="0" w:color="auto"/>
          </w:divBdr>
        </w:div>
        <w:div w:id="13330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nation.org/report/2015-building-grad-nation-report" TargetMode="External"/><Relationship Id="rId13" Type="http://schemas.openxmlformats.org/officeDocument/2006/relationships/hyperlink" Target="http://www.corestandards.org/standards-in-your-state/" TargetMode="External"/><Relationship Id="rId18" Type="http://schemas.openxmlformats.org/officeDocument/2006/relationships/hyperlink" Target="http://education.ky.gov/AA/Assessments/Documents/Kentucky%20State%20Assessment%20time.pdf"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www.edweek.org/media/ew/qc/2016/shr/16shr.ky.h35.pdf" TargetMode="External"/><Relationship Id="rId7" Type="http://schemas.openxmlformats.org/officeDocument/2006/relationships/hyperlink" Target="http://nces.ed.gov/ccd/tables/ACGR_RE_and_characteristics_2013-14.asp" TargetMode="External"/><Relationship Id="rId12" Type="http://schemas.openxmlformats.org/officeDocument/2006/relationships/hyperlink" Target="http://education.ky.gov/comm/news/Documents/R15-097AP-SAT.pdf" TargetMode="External"/><Relationship Id="rId17" Type="http://schemas.openxmlformats.org/officeDocument/2006/relationships/hyperlink" Target="http://applications.education.ky.gov/SRC/CareerTechEducationByState.aspx%20" TargetMode="External"/><Relationship Id="rId25" Type="http://schemas.openxmlformats.org/officeDocument/2006/relationships/hyperlink" Target="http://www.gradnation.org/report/2015-building-grad-nation-report" TargetMode="External"/><Relationship Id="rId2" Type="http://schemas.openxmlformats.org/officeDocument/2006/relationships/styles" Target="styles.xml"/><Relationship Id="rId16" Type="http://schemas.openxmlformats.org/officeDocument/2006/relationships/hyperlink" Target="http://applications.education.ky.gov/SRC/AccountabilityByState.aspx" TargetMode="External"/><Relationship Id="rId20" Type="http://schemas.openxmlformats.org/officeDocument/2006/relationships/hyperlink" Target="http://www.nbpts.org/sites/default/files/certification_2015/2015_staterankings_all_nbcts_percent_of_teaching_population.pdf" TargetMode="External"/><Relationship Id="rId29" Type="http://schemas.openxmlformats.org/officeDocument/2006/relationships/image" Target="media/image1.t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ky.gov/comm/news/Documents/R%2015-091%20ACT%202015%20grads.pdf" TargetMode="External"/><Relationship Id="rId24" Type="http://schemas.openxmlformats.org/officeDocument/2006/relationships/hyperlink" Target="http://nces.ed.gov/ccd/tables/ACGR_RE_and_characteristics_2013-14.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ducation.ky.gov/comm/UL/Pages/Kentucky-Core-Academic-Standards-Challenge.aspx" TargetMode="External"/><Relationship Id="rId23" Type="http://schemas.openxmlformats.org/officeDocument/2006/relationships/hyperlink" Target="http://www.edweek.org/media/ew/qc/2016/shr/16shr.ky.h35.pdf" TargetMode="External"/><Relationship Id="rId28" Type="http://schemas.openxmlformats.org/officeDocument/2006/relationships/chart" Target="charts/chart3.xml"/><Relationship Id="rId10" Type="http://schemas.openxmlformats.org/officeDocument/2006/relationships/hyperlink" Target="https://nces.ed.gov/nationsreportcard/statecomparisons/" TargetMode="External"/><Relationship Id="rId19" Type="http://schemas.openxmlformats.org/officeDocument/2006/relationships/hyperlink" Target="http://www.tellkentucky.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week.org/media/ew/qc/2016/shr/16shr.ky.h35.pdf" TargetMode="External"/><Relationship Id="rId14" Type="http://schemas.openxmlformats.org/officeDocument/2006/relationships/hyperlink" Target="https://nces.ed.gov/nationsreportcard/statecomparisons/" TargetMode="External"/><Relationship Id="rId22" Type="http://schemas.openxmlformats.org/officeDocument/2006/relationships/hyperlink" Target="http://www.edweek.org/ew/toc/2016/01/07/index.html?intc=EW-QC16-LFTNAV" TargetMode="External"/><Relationship Id="rId27" Type="http://schemas.openxmlformats.org/officeDocument/2006/relationships/chart" Target="charts/chart2.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blessin\Desktop\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Sheet1!$B$19:$B$21</c:f>
              <c:strCache>
                <c:ptCount val="3"/>
                <c:pt idx="0">
                  <c:v>Kentucky</c:v>
                </c:pt>
                <c:pt idx="1">
                  <c:v>4th-Grade</c:v>
                </c:pt>
                <c:pt idx="2">
                  <c:v>Scale Score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4.261111111111112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33333333333332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7055555555555557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833333333333332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5388980982640326E-2"/>
                  <c:y val="-6.28308961379827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203204862551E-2"/>
                  <c:y val="-5.9523809523809576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Sheet1!$B$22:$B$29</c:f>
              <c:numCache>
                <c:formatCode>General</c:formatCode>
                <c:ptCount val="8"/>
                <c:pt idx="0">
                  <c:v>219</c:v>
                </c:pt>
                <c:pt idx="1">
                  <c:v>229</c:v>
                </c:pt>
                <c:pt idx="2">
                  <c:v>231</c:v>
                </c:pt>
                <c:pt idx="3">
                  <c:v>235</c:v>
                </c:pt>
                <c:pt idx="4">
                  <c:v>239</c:v>
                </c:pt>
                <c:pt idx="5">
                  <c:v>241</c:v>
                </c:pt>
                <c:pt idx="6">
                  <c:v>241</c:v>
                </c:pt>
                <c:pt idx="7">
                  <c:v>242</c:v>
                </c:pt>
              </c:numCache>
            </c:numRef>
          </c:val>
          <c:smooth val="0"/>
        </c:ser>
        <c:ser>
          <c:idx val="1"/>
          <c:order val="1"/>
          <c:tx>
            <c:strRef>
              <c:f>Sheet1!$C$19:$C$21</c:f>
              <c:strCache>
                <c:ptCount val="3"/>
                <c:pt idx="0">
                  <c:v>National Average</c:v>
                </c:pt>
                <c:pt idx="1">
                  <c:v>4th-Grade</c:v>
                </c:pt>
                <c:pt idx="2">
                  <c:v>Scale Score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3.9833333333333346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11111111111113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61111111111111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33333333333332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833333333333332E-2"/>
                  <c:y val="4.16666666666665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5388888888888992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Sheet1!$C$22:$C$29</c:f>
              <c:numCache>
                <c:formatCode>General</c:formatCode>
                <c:ptCount val="8"/>
                <c:pt idx="0">
                  <c:v>224</c:v>
                </c:pt>
                <c:pt idx="1">
                  <c:v>234</c:v>
                </c:pt>
                <c:pt idx="2">
                  <c:v>237</c:v>
                </c:pt>
                <c:pt idx="3">
                  <c:v>239</c:v>
                </c:pt>
                <c:pt idx="4">
                  <c:v>239</c:v>
                </c:pt>
                <c:pt idx="5">
                  <c:v>240</c:v>
                </c:pt>
                <c:pt idx="6">
                  <c:v>241</c:v>
                </c:pt>
                <c:pt idx="7">
                  <c:v>240</c:v>
                </c:pt>
              </c:numCache>
            </c:numRef>
          </c:val>
          <c:smooth val="0"/>
        </c:ser>
        <c:ser>
          <c:idx val="2"/>
          <c:order val="2"/>
          <c:tx>
            <c:strRef>
              <c:f>Sheet1!$D$19:$D$21</c:f>
              <c:strCache>
                <c:ptCount val="3"/>
                <c:pt idx="0">
                  <c:v>Kentucky</c:v>
                </c:pt>
                <c:pt idx="1">
                  <c:v>8th-Grade</c:v>
                </c:pt>
                <c:pt idx="2">
                  <c:v>Scale Score</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dLbls>
            <c:dLbl>
              <c:idx val="0"/>
              <c:layout>
                <c:manualLayout>
                  <c:x val="-4.2611203204862551E-2"/>
                  <c:y val="2.57934945631795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203204862551E-2"/>
                  <c:y val="3.50529621297337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33333333333332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816675876041817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203204862551E-2"/>
                  <c:y val="3.96826959130108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203204862551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0783717824745727E-2"/>
                  <c:y val="4.5635076865391797E-2"/>
                </c:manualLayout>
              </c:layout>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5584795321637421E-2"/>
                      <c:h val="9.5149043869516309E-2"/>
                    </c:manualLayout>
                  </c15:layout>
                </c:ext>
              </c:extLst>
            </c:dLbl>
            <c:dLbl>
              <c:idx val="7"/>
              <c:layout>
                <c:manualLayout>
                  <c:x val="-3.9833333333333332E-2"/>
                  <c:y val="2.7777777777777693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Sheet1!$D$22:$D$29</c:f>
              <c:numCache>
                <c:formatCode>General</c:formatCode>
                <c:ptCount val="8"/>
                <c:pt idx="0">
                  <c:v>270</c:v>
                </c:pt>
                <c:pt idx="1">
                  <c:v>274</c:v>
                </c:pt>
                <c:pt idx="2">
                  <c:v>274</c:v>
                </c:pt>
                <c:pt idx="3">
                  <c:v>279</c:v>
                </c:pt>
                <c:pt idx="4">
                  <c:v>279</c:v>
                </c:pt>
                <c:pt idx="5">
                  <c:v>282</c:v>
                </c:pt>
                <c:pt idx="6">
                  <c:v>281</c:v>
                </c:pt>
                <c:pt idx="7">
                  <c:v>278</c:v>
                </c:pt>
              </c:numCache>
            </c:numRef>
          </c:val>
          <c:smooth val="0"/>
        </c:ser>
        <c:ser>
          <c:idx val="3"/>
          <c:order val="3"/>
          <c:tx>
            <c:strRef>
              <c:f>Sheet1!$E$19:$E$21</c:f>
              <c:strCache>
                <c:ptCount val="3"/>
                <c:pt idx="0">
                  <c:v>National Average</c:v>
                </c:pt>
                <c:pt idx="1">
                  <c:v>8th-Grade</c:v>
                </c:pt>
                <c:pt idx="2">
                  <c:v>Scale Score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dLbls>
            <c:dLbl>
              <c:idx val="0"/>
              <c:layout>
                <c:manualLayout>
                  <c:x val="-4.261111111111112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111111111113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33333333333332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388888888888937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111111111113E-2"/>
                  <c:y val="-2.77777777777778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1734010222406408E-2"/>
                  <c:y val="-3.3730314960629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4.6296296296296252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Sheet1!$E$22:$E$29</c:f>
              <c:numCache>
                <c:formatCode>General</c:formatCode>
                <c:ptCount val="8"/>
                <c:pt idx="0">
                  <c:v>272</c:v>
                </c:pt>
                <c:pt idx="1">
                  <c:v>276</c:v>
                </c:pt>
                <c:pt idx="2">
                  <c:v>278</c:v>
                </c:pt>
                <c:pt idx="3">
                  <c:v>280</c:v>
                </c:pt>
                <c:pt idx="4">
                  <c:v>282</c:v>
                </c:pt>
                <c:pt idx="5">
                  <c:v>283</c:v>
                </c:pt>
                <c:pt idx="6">
                  <c:v>284</c:v>
                </c:pt>
                <c:pt idx="7">
                  <c:v>281</c:v>
                </c:pt>
              </c:numCache>
            </c:numRef>
          </c:val>
          <c:smooth val="0"/>
        </c:ser>
        <c:dLbls>
          <c:dLblPos val="ctr"/>
          <c:showLegendKey val="0"/>
          <c:showVal val="1"/>
          <c:showCatName val="0"/>
          <c:showSerName val="0"/>
          <c:showPercent val="0"/>
          <c:showBubbleSize val="0"/>
        </c:dLbls>
        <c:smooth val="0"/>
        <c:axId val="467519112"/>
        <c:axId val="467518720"/>
      </c:lineChart>
      <c:catAx>
        <c:axId val="467519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18720"/>
        <c:crosses val="autoZero"/>
        <c:auto val="1"/>
        <c:lblAlgn val="ctr"/>
        <c:lblOffset val="100"/>
        <c:noMultiLvlLbl val="0"/>
      </c:catAx>
      <c:valAx>
        <c:axId val="467518720"/>
        <c:scaling>
          <c:orientation val="minMax"/>
          <c:min val="21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Scale Scores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67519112"/>
        <c:crosses val="autoZero"/>
        <c:crossBetween val="between"/>
        <c:majorUnit val="1"/>
        <c:minorUnit val="0.1"/>
      </c:valAx>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5400000" scaled="1"/>
          <a:tileRect/>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Sheet1!$B$2:$B$4</c:f>
              <c:strCache>
                <c:ptCount val="3"/>
                <c:pt idx="0">
                  <c:v>Kentucky </c:v>
                </c:pt>
                <c:pt idx="1">
                  <c:v>4th-Grade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3576115485564318E-2"/>
                  <c:y val="-3.70371828521434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111111111113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11203204862551E-2"/>
                  <c:y val="-5.09260717410323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611203204862551E-2"/>
                  <c:y val="-5.83333333333334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20320486262E-2"/>
                  <c:y val="-5.74072615923009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611111111111113E-2"/>
                  <c:y val="-2.77777777777778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Sheet1!$B$5:$B$13</c:f>
              <c:numCache>
                <c:formatCode>General</c:formatCode>
                <c:ptCount val="9"/>
                <c:pt idx="0">
                  <c:v>218</c:v>
                </c:pt>
                <c:pt idx="1">
                  <c:v>219</c:v>
                </c:pt>
                <c:pt idx="2">
                  <c:v>219</c:v>
                </c:pt>
                <c:pt idx="3">
                  <c:v>220</c:v>
                </c:pt>
                <c:pt idx="4">
                  <c:v>222</c:v>
                </c:pt>
                <c:pt idx="5">
                  <c:v>226</c:v>
                </c:pt>
                <c:pt idx="6">
                  <c:v>225</c:v>
                </c:pt>
                <c:pt idx="7">
                  <c:v>224</c:v>
                </c:pt>
                <c:pt idx="8">
                  <c:v>228</c:v>
                </c:pt>
              </c:numCache>
            </c:numRef>
          </c:val>
          <c:smooth val="0"/>
        </c:ser>
        <c:ser>
          <c:idx val="1"/>
          <c:order val="1"/>
          <c:tx>
            <c:strRef>
              <c:f>Sheet1!$C$2:$C$4</c:f>
              <c:strCache>
                <c:ptCount val="3"/>
                <c:pt idx="0">
                  <c:v>Nation  </c:v>
                </c:pt>
                <c:pt idx="1">
                  <c:v>4th-Grade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1"/>
              <c:layout>
                <c:manualLayout>
                  <c:x val="-4.2611203204862586E-2"/>
                  <c:y val="3.05555555555555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757309941520464E-2"/>
                  <c:y val="1.66666666666665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611111111111113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111111111211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111111111113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611111111111113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9.2592592592590887E-3"/>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611111111111113E-2"/>
                  <c:y val="9.2592592592590887E-3"/>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Sheet1!$C$5:$C$13</c:f>
              <c:numCache>
                <c:formatCode>General</c:formatCode>
                <c:ptCount val="9"/>
                <c:pt idx="0">
                  <c:v>213</c:v>
                </c:pt>
                <c:pt idx="1">
                  <c:v>217</c:v>
                </c:pt>
                <c:pt idx="2">
                  <c:v>216</c:v>
                </c:pt>
                <c:pt idx="3">
                  <c:v>217</c:v>
                </c:pt>
                <c:pt idx="4">
                  <c:v>220</c:v>
                </c:pt>
                <c:pt idx="5">
                  <c:v>220</c:v>
                </c:pt>
                <c:pt idx="6">
                  <c:v>220</c:v>
                </c:pt>
                <c:pt idx="7">
                  <c:v>221</c:v>
                </c:pt>
                <c:pt idx="8">
                  <c:v>221</c:v>
                </c:pt>
              </c:numCache>
            </c:numRef>
          </c:val>
          <c:smooth val="0"/>
        </c:ser>
        <c:ser>
          <c:idx val="2"/>
          <c:order val="2"/>
          <c:tx>
            <c:strRef>
              <c:f>Sheet1!$D$2:$D$4</c:f>
              <c:strCache>
                <c:ptCount val="3"/>
                <c:pt idx="0">
                  <c:v>Kentucky </c:v>
                </c:pt>
                <c:pt idx="1">
                  <c:v>8th-Grade</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dLbls>
            <c:dLbl>
              <c:idx val="0"/>
              <c:layout>
                <c:manualLayout>
                  <c:x val="-3.9833333333333332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388888888888916E-2"/>
                  <c:y val="-4.6296296296296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11111111111113E-2"/>
                  <c:y val="-1.85185185185185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111111111211E-2"/>
                  <c:y val="-4.62962962962963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111111111113E-2"/>
                  <c:y val="-9.259259259259269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9.259259259259269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611111111111113E-2"/>
                  <c:y val="-1.38888888888889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Sheet1!$D$5:$D$13</c:f>
              <c:numCache>
                <c:formatCode>General</c:formatCode>
                <c:ptCount val="9"/>
                <c:pt idx="0">
                  <c:v>262</c:v>
                </c:pt>
                <c:pt idx="1">
                  <c:v>265</c:v>
                </c:pt>
                <c:pt idx="2">
                  <c:v>266</c:v>
                </c:pt>
                <c:pt idx="3">
                  <c:v>264</c:v>
                </c:pt>
                <c:pt idx="4">
                  <c:v>262</c:v>
                </c:pt>
                <c:pt idx="5">
                  <c:v>267</c:v>
                </c:pt>
                <c:pt idx="6">
                  <c:v>269</c:v>
                </c:pt>
                <c:pt idx="7">
                  <c:v>270</c:v>
                </c:pt>
                <c:pt idx="8">
                  <c:v>268</c:v>
                </c:pt>
              </c:numCache>
            </c:numRef>
          </c:val>
          <c:smooth val="0"/>
        </c:ser>
        <c:ser>
          <c:idx val="3"/>
          <c:order val="3"/>
          <c:tx>
            <c:strRef>
              <c:f>Sheet1!$E$2:$E$4</c:f>
              <c:strCache>
                <c:ptCount val="3"/>
                <c:pt idx="0">
                  <c:v>Nation  </c:v>
                </c:pt>
                <c:pt idx="1">
                  <c:v>8th-Grade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dLbls>
            <c:dLbl>
              <c:idx val="0"/>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11111111111113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611111111111211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611111111111113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611111111111211E-2"/>
                  <c:y val="3.24074074074073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983333333333343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9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Sheet1!$E$5:$E$13</c:f>
              <c:numCache>
                <c:formatCode>General</c:formatCode>
                <c:ptCount val="9"/>
                <c:pt idx="0">
                  <c:v>261</c:v>
                </c:pt>
                <c:pt idx="1">
                  <c:v>263</c:v>
                </c:pt>
                <c:pt idx="2">
                  <c:v>261</c:v>
                </c:pt>
                <c:pt idx="3">
                  <c:v>260</c:v>
                </c:pt>
                <c:pt idx="4">
                  <c:v>261</c:v>
                </c:pt>
                <c:pt idx="5">
                  <c:v>262</c:v>
                </c:pt>
                <c:pt idx="6">
                  <c:v>264</c:v>
                </c:pt>
                <c:pt idx="7">
                  <c:v>266</c:v>
                </c:pt>
                <c:pt idx="8">
                  <c:v>264</c:v>
                </c:pt>
              </c:numCache>
            </c:numRef>
          </c:val>
          <c:smooth val="0"/>
        </c:ser>
        <c:dLbls>
          <c:dLblPos val="ctr"/>
          <c:showLegendKey val="0"/>
          <c:showVal val="1"/>
          <c:showCatName val="0"/>
          <c:showSerName val="0"/>
          <c:showPercent val="0"/>
          <c:showBubbleSize val="0"/>
        </c:dLbls>
        <c:smooth val="0"/>
        <c:axId val="603117328"/>
        <c:axId val="603117720"/>
      </c:lineChart>
      <c:catAx>
        <c:axId val="603117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17720"/>
        <c:crosses val="autoZero"/>
        <c:auto val="1"/>
        <c:lblAlgn val="ctr"/>
        <c:lblOffset val="100"/>
        <c:noMultiLvlLbl val="0"/>
      </c:catAx>
      <c:valAx>
        <c:axId val="603117720"/>
        <c:scaling>
          <c:orientation val="minMax"/>
          <c:min val="21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Scale Scores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03117328"/>
        <c:crosses val="autoZero"/>
        <c:crossBetween val="between"/>
        <c:majorUnit val="1"/>
        <c:minorUnit val="0.1"/>
      </c:valAx>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5400000" scaled="1"/>
          <a:tileRect/>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Sheet1!$B$33:$B$35</c:f>
              <c:strCache>
                <c:ptCount val="3"/>
                <c:pt idx="0">
                  <c:v>Kentucky</c:v>
                </c:pt>
                <c:pt idx="1">
                  <c:v>4th-Grade</c:v>
                </c:pt>
                <c:pt idx="2">
                  <c:v>Scale Score</c:v>
                </c:pt>
              </c:strCache>
            </c:strRef>
          </c:tx>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Sheet1!$B$36:$B$37</c:f>
              <c:numCache>
                <c:formatCode>General</c:formatCode>
                <c:ptCount val="2"/>
                <c:pt idx="0">
                  <c:v>161</c:v>
                </c:pt>
              </c:numCache>
            </c:numRef>
          </c:val>
        </c:ser>
        <c:ser>
          <c:idx val="1"/>
          <c:order val="1"/>
          <c:tx>
            <c:strRef>
              <c:f>Sheet1!$C$33:$C$35</c:f>
              <c:strCache>
                <c:ptCount val="3"/>
                <c:pt idx="0">
                  <c:v>National Average</c:v>
                </c:pt>
                <c:pt idx="1">
                  <c:v>4th-Grade</c:v>
                </c:pt>
                <c:pt idx="2">
                  <c:v>Scale Score</c:v>
                </c:pt>
              </c:strCache>
            </c:strRef>
          </c:tx>
          <c:spPr>
            <a:solidFill>
              <a:schemeClr val="accent2"/>
            </a:solidFill>
            <a:ln>
              <a:noFill/>
            </a:ln>
            <a:effectLst/>
          </c:spPr>
          <c:invertIfNegative val="0"/>
          <c:dPt>
            <c:idx val="0"/>
            <c:invertIfNegative val="0"/>
            <c:bubble3D val="0"/>
            <c:spPr>
              <a:solidFill>
                <a:schemeClr val="accent2"/>
              </a:solidFill>
              <a:ln>
                <a:noFill/>
              </a:ln>
              <a:effectLst/>
            </c:spPr>
          </c:dPt>
          <c:dLbls>
            <c:spPr>
              <a:solidFill>
                <a:schemeClr val="bg1"/>
              </a:solid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Sheet1!$C$36:$C$37</c:f>
              <c:numCache>
                <c:formatCode>General</c:formatCode>
                <c:ptCount val="2"/>
                <c:pt idx="0">
                  <c:v>149</c:v>
                </c:pt>
              </c:numCache>
            </c:numRef>
          </c:val>
        </c:ser>
        <c:ser>
          <c:idx val="2"/>
          <c:order val="2"/>
          <c:tx>
            <c:strRef>
              <c:f>Sheet1!$D$33:$D$35</c:f>
              <c:strCache>
                <c:ptCount val="3"/>
                <c:pt idx="0">
                  <c:v>Kentucky</c:v>
                </c:pt>
                <c:pt idx="1">
                  <c:v>8th-Grade</c:v>
                </c:pt>
                <c:pt idx="2">
                  <c:v>Scale Score</c:v>
                </c:pt>
              </c:strCache>
            </c:strRef>
          </c:tx>
          <c:spPr>
            <a:solidFill>
              <a:srgbClr val="7030A0"/>
            </a:solidFill>
            <a:ln>
              <a:noFill/>
            </a:ln>
            <a:effectLst/>
          </c:spPr>
          <c:invertIfNegative val="0"/>
          <c:dLbls>
            <c:spPr>
              <a:no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Sheet1!$D$36:$D$37</c:f>
              <c:numCache>
                <c:formatCode>General</c:formatCode>
                <c:ptCount val="2"/>
                <c:pt idx="0">
                  <c:v>156</c:v>
                </c:pt>
                <c:pt idx="1">
                  <c:v>157</c:v>
                </c:pt>
              </c:numCache>
            </c:numRef>
          </c:val>
        </c:ser>
        <c:ser>
          <c:idx val="3"/>
          <c:order val="3"/>
          <c:tx>
            <c:strRef>
              <c:f>Sheet1!$E$33:$E$35</c:f>
              <c:strCache>
                <c:ptCount val="3"/>
                <c:pt idx="0">
                  <c:v>National Average</c:v>
                </c:pt>
                <c:pt idx="1">
                  <c:v>8th-Grade</c:v>
                </c:pt>
                <c:pt idx="2">
                  <c:v>Scale Score</c:v>
                </c:pt>
              </c:strCache>
            </c:strRef>
          </c:tx>
          <c:spPr>
            <a:solidFill>
              <a:schemeClr val="accent6">
                <a:lumMod val="75000"/>
              </a:schemeClr>
            </a:solidFill>
            <a:ln>
              <a:noFill/>
            </a:ln>
            <a:effectLst/>
          </c:spPr>
          <c:invertIfNegative val="0"/>
          <c:dLbls>
            <c:spPr>
              <a:solidFill>
                <a:schemeClr val="bg1"/>
              </a:solidFill>
              <a:ln>
                <a:solidFill>
                  <a:schemeClr val="bg1">
                    <a:lumMod val="8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Sheet1!$E$36:$E$37</c:f>
              <c:numCache>
                <c:formatCode>General</c:formatCode>
                <c:ptCount val="2"/>
                <c:pt idx="0">
                  <c:v>149</c:v>
                </c:pt>
                <c:pt idx="1">
                  <c:v>151</c:v>
                </c:pt>
              </c:numCache>
            </c:numRef>
          </c:val>
        </c:ser>
        <c:dLbls>
          <c:showLegendKey val="0"/>
          <c:showVal val="0"/>
          <c:showCatName val="0"/>
          <c:showSerName val="0"/>
          <c:showPercent val="0"/>
          <c:showBubbleSize val="0"/>
        </c:dLbls>
        <c:gapWidth val="219"/>
        <c:overlap val="-27"/>
        <c:axId val="603118504"/>
        <c:axId val="603118896"/>
      </c:barChart>
      <c:catAx>
        <c:axId val="60311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18896"/>
        <c:crosses val="autoZero"/>
        <c:auto val="1"/>
        <c:lblAlgn val="ctr"/>
        <c:lblOffset val="100"/>
        <c:noMultiLvlLbl val="0"/>
      </c:catAx>
      <c:valAx>
        <c:axId val="603118896"/>
        <c:scaling>
          <c:orientation val="minMax"/>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Scale Scores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03118504"/>
        <c:crosses val="autoZero"/>
        <c:crossBetween val="between"/>
      </c:valAx>
      <c:spPr>
        <a:gradFill>
          <a:gsLst>
            <a:gs pos="1000">
              <a:schemeClr val="bg1"/>
            </a:gs>
            <a:gs pos="100000">
              <a:schemeClr val="bg1">
                <a:lumMod val="50000"/>
              </a:schemeClr>
            </a:gs>
            <a:gs pos="35000">
              <a:schemeClr val="bg1"/>
            </a:gs>
          </a:gsLst>
          <a:lin ang="5400000" scaled="1"/>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6</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Rebecca - Director, Division of Communications</dc:creator>
  <cp:keywords/>
  <dc:description/>
  <cp:lastModifiedBy>Blessing, Rebecca - Director, Division of Communications</cp:lastModifiedBy>
  <cp:revision>6</cp:revision>
  <dcterms:created xsi:type="dcterms:W3CDTF">2016-01-10T23:00:00Z</dcterms:created>
  <dcterms:modified xsi:type="dcterms:W3CDTF">2016-01-11T12:51:00Z</dcterms:modified>
</cp:coreProperties>
</file>